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数据采集卡和预放大器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437082D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通道数：2通道输入，输入幅值≥2V</w:t>
            </w:r>
          </w:p>
          <w:p w14:paraId="4E415B79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最大输入计数率：≥10Gbit/s</w:t>
            </w:r>
          </w:p>
          <w:p w14:paraId="3C5F027B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时间分辨率≤100PS</w:t>
            </w:r>
          </w:p>
          <w:p w14:paraId="23EEF423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最小脉冲宽度（正或负）：100ps，脉冲宽度分辨率：80 皮秒</w:t>
            </w:r>
          </w:p>
          <w:p w14:paraId="2118B92F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传输接口：USB3.0或更高速的接口，无需NIM机箱或PCIe/PCIX插槽</w:t>
            </w:r>
          </w:p>
          <w:p w14:paraId="4C850B14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Start和Stop输入：内置≥300MHz,+/-3V 下降沿甄别器，灵敏度：优于30 mV</w:t>
            </w:r>
          </w:p>
          <w:p w14:paraId="2706D14A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支持外触发，自触发以及多机同步功能；</w:t>
            </w:r>
          </w:p>
          <w:p w14:paraId="4B97C140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基于LabVIEW软件以及DLL调用数据库</w:t>
            </w:r>
          </w:p>
          <w:p w14:paraId="17DD8507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TDC采集，无重复计数</w:t>
            </w:r>
          </w:p>
          <w:p w14:paraId="284509AD">
            <w:pPr>
              <w:pStyle w:val="11"/>
              <w:numPr>
                <w:ilvl w:val="0"/>
                <w:numId w:val="1"/>
              </w:numPr>
              <w:tabs>
                <w:tab w:val="left" w:pos="458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最高输入带宽≥300Mhz</w:t>
            </w:r>
          </w:p>
          <w:p w14:paraId="7B910B29">
            <w:pPr>
              <w:pStyle w:val="11"/>
              <w:numPr>
                <w:ilvl w:val="0"/>
                <w:numId w:val="1"/>
              </w:numPr>
              <w:tabs>
                <w:tab w:val="left" w:pos="458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具备CFT（Constant Fraction Timing）功能</w:t>
            </w:r>
          </w:p>
          <w:p w14:paraId="06661185">
            <w:pPr>
              <w:pStyle w:val="11"/>
              <w:numPr>
                <w:ilvl w:val="0"/>
                <w:numId w:val="1"/>
              </w:numPr>
              <w:tabs>
                <w:tab w:val="left" w:pos="458"/>
                <w:tab w:val="clear" w:pos="1428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配套信号增益&gt;1E6的预放大器</w:t>
            </w:r>
          </w:p>
          <w:p w14:paraId="67AA6C3C">
            <w:pPr>
              <w:pStyle w:val="11"/>
              <w:numPr>
                <w:ilvl w:val="0"/>
                <w:numId w:val="0"/>
              </w:numPr>
              <w:tabs>
                <w:tab w:val="left" w:pos="458"/>
                <w:tab w:val="clear" w:pos="1428"/>
              </w:tabs>
              <w:ind w:leftChars="0"/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/>
                <w:szCs w:val="21"/>
              </w:rPr>
              <w:t>数量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套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02FBA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  <w:lang w:val="en-US" w:eastAsia="zh-CN"/>
              </w:rPr>
              <w:t>合同签订</w:t>
            </w:r>
            <w:r>
              <w:rPr>
                <w:szCs w:val="21"/>
              </w:rPr>
              <w:t>后</w:t>
            </w: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个月。</w:t>
            </w:r>
          </w:p>
          <w:p w14:paraId="2959D589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供货方于合同生效之日起</w:t>
            </w: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个月内将货物送达至采购方指定地点</w:t>
            </w:r>
            <w:r>
              <w:rPr>
                <w:szCs w:val="21"/>
              </w:rPr>
              <w:t>。</w:t>
            </w:r>
          </w:p>
          <w:p w14:paraId="7DE7FC7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bookmarkStart w:id="0" w:name="_Hlk201049462"/>
            <w:r>
              <w:rPr>
                <w:rFonts w:hint="eastAsia"/>
                <w:szCs w:val="21"/>
              </w:rPr>
              <w:t>设备到货并调试验收合格后，支付合同总价的100%</w:t>
            </w:r>
            <w:r>
              <w:rPr>
                <w:szCs w:val="21"/>
              </w:rPr>
              <w:t>。</w:t>
            </w:r>
            <w:bookmarkEnd w:id="0"/>
          </w:p>
          <w:p w14:paraId="1EC97A79">
            <w:pPr>
              <w:tabs>
                <w:tab w:val="left" w:pos="6915"/>
              </w:tabs>
              <w:jc w:val="left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</w:rPr>
              <w:t>外部5 V时序电压触发，频率20-40 kHz，实测质谱信号的时间分辨率小于等于100 ps。</w:t>
            </w:r>
          </w:p>
          <w:p w14:paraId="7B9B1FD8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质保期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验收合格后</w:t>
            </w:r>
            <w:r>
              <w:rPr>
                <w:rFonts w:hint="eastAsia"/>
                <w:szCs w:val="21"/>
              </w:rPr>
              <w:t>1年</w:t>
            </w:r>
            <w:bookmarkStart w:id="1" w:name="_GoBack"/>
            <w:bookmarkEnd w:id="1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9655DB"/>
    <w:multiLevelType w:val="multilevel"/>
    <w:tmpl w:val="209655D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4F910E7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2026-06-17T08:05:50Z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