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7F42D7">
      <w:pPr>
        <w:jc w:val="center"/>
        <w:rPr>
          <w:sz w:val="36"/>
        </w:rPr>
      </w:pPr>
      <w:r>
        <w:rPr>
          <w:sz w:val="36"/>
        </w:rPr>
        <w:t>中国科学技术大学国家同步辐射实验室</w:t>
      </w:r>
    </w:p>
    <w:p w14:paraId="71ADF21F">
      <w:pPr>
        <w:jc w:val="center"/>
        <w:rPr>
          <w:sz w:val="36"/>
        </w:rPr>
      </w:pPr>
      <w:r>
        <w:rPr>
          <w:rFonts w:hint="eastAsia"/>
          <w:sz w:val="36"/>
        </w:rPr>
        <w:t>技术指标供应商确认表</w:t>
      </w:r>
    </w:p>
    <w:p w14:paraId="50584A57"/>
    <w:tbl>
      <w:tblPr>
        <w:tblStyle w:val="3"/>
        <w:tblW w:w="9781" w:type="dxa"/>
        <w:tblInd w:w="-5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1561"/>
        <w:gridCol w:w="5322"/>
        <w:gridCol w:w="1201"/>
        <w:gridCol w:w="992"/>
      </w:tblGrid>
      <w:tr w14:paraId="20C66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atLeast"/>
        </w:trPr>
        <w:tc>
          <w:tcPr>
            <w:tcW w:w="705" w:type="dxa"/>
            <w:vAlign w:val="center"/>
          </w:tcPr>
          <w:p w14:paraId="3E29496F">
            <w:pPr>
              <w:spacing w:line="240" w:lineRule="atLeast"/>
              <w:jc w:val="center"/>
              <w:rPr>
                <w:sz w:val="24"/>
                <w:szCs w:val="24"/>
              </w:rPr>
            </w:pPr>
            <w:r>
              <w:rPr>
                <w:rFonts w:hint="eastAsia"/>
                <w:sz w:val="24"/>
                <w:szCs w:val="24"/>
              </w:rPr>
              <w:t>序号</w:t>
            </w:r>
          </w:p>
        </w:tc>
        <w:tc>
          <w:tcPr>
            <w:tcW w:w="1561" w:type="dxa"/>
            <w:vAlign w:val="center"/>
          </w:tcPr>
          <w:p w14:paraId="467D4662">
            <w:pPr>
              <w:spacing w:line="240" w:lineRule="atLeast"/>
              <w:jc w:val="center"/>
              <w:rPr>
                <w:sz w:val="24"/>
                <w:szCs w:val="24"/>
              </w:rPr>
            </w:pPr>
            <w:r>
              <w:rPr>
                <w:rFonts w:hint="eastAsia"/>
                <w:sz w:val="24"/>
                <w:szCs w:val="24"/>
              </w:rPr>
              <w:t>名称</w:t>
            </w:r>
          </w:p>
        </w:tc>
        <w:tc>
          <w:tcPr>
            <w:tcW w:w="5322" w:type="dxa"/>
            <w:vAlign w:val="center"/>
          </w:tcPr>
          <w:p w14:paraId="0B99A1E1">
            <w:pPr>
              <w:spacing w:line="240" w:lineRule="atLeast"/>
              <w:jc w:val="center"/>
              <w:rPr>
                <w:sz w:val="24"/>
                <w:szCs w:val="24"/>
              </w:rPr>
            </w:pPr>
            <w:r>
              <w:rPr>
                <w:rFonts w:hint="eastAsia"/>
                <w:sz w:val="24"/>
                <w:szCs w:val="24"/>
              </w:rPr>
              <w:t>技术指标</w:t>
            </w:r>
          </w:p>
        </w:tc>
        <w:tc>
          <w:tcPr>
            <w:tcW w:w="1201" w:type="dxa"/>
            <w:vAlign w:val="center"/>
          </w:tcPr>
          <w:p w14:paraId="78A93726">
            <w:pPr>
              <w:spacing w:line="240" w:lineRule="atLeast"/>
              <w:jc w:val="center"/>
              <w:rPr>
                <w:sz w:val="24"/>
                <w:szCs w:val="24"/>
              </w:rPr>
            </w:pPr>
            <w:r>
              <w:rPr>
                <w:rFonts w:hint="eastAsia"/>
                <w:sz w:val="24"/>
                <w:szCs w:val="24"/>
              </w:rPr>
              <w:t>偏离说明</w:t>
            </w:r>
          </w:p>
          <w:p w14:paraId="529022B5">
            <w:pPr>
              <w:spacing w:line="240" w:lineRule="atLeast"/>
              <w:jc w:val="center"/>
              <w:rPr>
                <w:sz w:val="24"/>
                <w:szCs w:val="24"/>
              </w:rPr>
            </w:pPr>
            <w:r>
              <w:rPr>
                <w:rFonts w:hint="eastAsia"/>
                <w:sz w:val="24"/>
                <w:szCs w:val="24"/>
              </w:rPr>
              <w:t>(</w:t>
            </w:r>
            <w:r>
              <w:rPr>
                <w:sz w:val="24"/>
                <w:szCs w:val="24"/>
              </w:rPr>
              <w:t>无偏离</w:t>
            </w:r>
            <w:r>
              <w:rPr>
                <w:rFonts w:hint="eastAsia"/>
                <w:sz w:val="24"/>
                <w:szCs w:val="24"/>
              </w:rPr>
              <w:t>/</w:t>
            </w:r>
            <w:r>
              <w:rPr>
                <w:sz w:val="24"/>
                <w:szCs w:val="24"/>
              </w:rPr>
              <w:t>正偏离</w:t>
            </w:r>
            <w:r>
              <w:rPr>
                <w:rFonts w:hint="eastAsia"/>
                <w:sz w:val="24"/>
                <w:szCs w:val="24"/>
              </w:rPr>
              <w:t>/</w:t>
            </w:r>
            <w:r>
              <w:rPr>
                <w:sz w:val="24"/>
                <w:szCs w:val="24"/>
              </w:rPr>
              <w:t>负偏离</w:t>
            </w:r>
            <w:r>
              <w:rPr>
                <w:rFonts w:hint="eastAsia"/>
                <w:sz w:val="24"/>
                <w:szCs w:val="24"/>
              </w:rPr>
              <w:t>)</w:t>
            </w:r>
          </w:p>
        </w:tc>
        <w:tc>
          <w:tcPr>
            <w:tcW w:w="992" w:type="dxa"/>
            <w:vAlign w:val="center"/>
          </w:tcPr>
          <w:p w14:paraId="744AE6C5">
            <w:pPr>
              <w:spacing w:line="240" w:lineRule="atLeast"/>
              <w:jc w:val="center"/>
              <w:rPr>
                <w:sz w:val="24"/>
                <w:szCs w:val="24"/>
              </w:rPr>
            </w:pPr>
            <w:r>
              <w:rPr>
                <w:rFonts w:hint="eastAsia"/>
                <w:sz w:val="24"/>
                <w:szCs w:val="24"/>
              </w:rPr>
              <w:t>偏离值</w:t>
            </w:r>
          </w:p>
        </w:tc>
      </w:tr>
      <w:tr w14:paraId="6C24D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705" w:type="dxa"/>
            <w:vAlign w:val="center"/>
          </w:tcPr>
          <w:p w14:paraId="6B5478EA">
            <w:pPr>
              <w:spacing w:line="240" w:lineRule="atLeast"/>
              <w:jc w:val="center"/>
              <w:rPr>
                <w:sz w:val="24"/>
                <w:szCs w:val="24"/>
              </w:rPr>
            </w:pPr>
            <w:r>
              <w:rPr>
                <w:rFonts w:hint="eastAsia"/>
                <w:sz w:val="24"/>
                <w:szCs w:val="24"/>
              </w:rPr>
              <w:t>1</w:t>
            </w:r>
          </w:p>
        </w:tc>
        <w:tc>
          <w:tcPr>
            <w:tcW w:w="1561" w:type="dxa"/>
            <w:tcBorders>
              <w:top w:val="single" w:color="auto" w:sz="4" w:space="0"/>
              <w:left w:val="single" w:color="auto" w:sz="4" w:space="0"/>
              <w:right w:val="single" w:color="auto" w:sz="4" w:space="0"/>
            </w:tcBorders>
            <w:shd w:val="clear" w:color="auto" w:fill="auto"/>
            <w:vAlign w:val="center"/>
          </w:tcPr>
          <w:p w14:paraId="72D7432B">
            <w:pPr>
              <w:keepNext w:val="0"/>
              <w:keepLines w:val="0"/>
              <w:pageBreakBefore w:val="0"/>
              <w:widowControl w:val="0"/>
              <w:tabs>
                <w:tab w:val="left" w:pos="6915"/>
              </w:tabs>
              <w:kinsoku/>
              <w:wordWrap/>
              <w:overflowPunct w:val="0"/>
              <w:topLinePunct w:val="0"/>
              <w:autoSpaceDE/>
              <w:autoSpaceDN/>
              <w:bidi w:val="0"/>
              <w:adjustRightInd w:val="0"/>
              <w:snapToGrid w:val="0"/>
              <w:spacing w:line="264" w:lineRule="auto"/>
              <w:jc w:val="center"/>
              <w:textAlignment w:val="auto"/>
              <w:rPr>
                <w:rFonts w:hint="default" w:eastAsiaTheme="minorEastAsia"/>
                <w:sz w:val="24"/>
                <w:szCs w:val="24"/>
                <w:lang w:val="en-US" w:eastAsia="zh-CN"/>
              </w:rPr>
            </w:pPr>
            <w:r>
              <w:rPr>
                <w:rFonts w:hint="default" w:ascii="Times New Roman" w:hAnsi="Times New Roman" w:eastAsia="宋体" w:cs="Times New Roman"/>
                <w:b w:val="0"/>
                <w:bCs w:val="0"/>
                <w:sz w:val="24"/>
                <w:szCs w:val="24"/>
                <w:shd w:val="clear" w:color="auto" w:fill="FFFFFF"/>
              </w:rPr>
              <w:t>高性能计算服务器</w:t>
            </w:r>
          </w:p>
        </w:tc>
        <w:tc>
          <w:tcPr>
            <w:tcW w:w="5322" w:type="dxa"/>
            <w:vAlign w:val="center"/>
          </w:tcPr>
          <w:p w14:paraId="43679ABA">
            <w:pPr>
              <w:spacing w:after="20" w:line="252" w:lineRule="auto"/>
              <w:ind w:firstLine="420"/>
              <w:jc w:val="left"/>
              <w:rPr>
                <w:sz w:val="24"/>
                <w:szCs w:val="24"/>
              </w:rPr>
            </w:pPr>
            <w:r>
              <w:rPr>
                <w:rFonts w:ascii="宋体" w:hAnsi="宋体"/>
                <w:sz w:val="24"/>
                <w:szCs w:val="24"/>
              </w:rPr>
              <w:t>该高性能计算服务器用于全息光刻中的高精度计算全息图设计与三维衍射场仿真。整机应具备高并行计算能力、大容量ECC内存、高速企业级存储以及双专业计算显卡能力，满足大规模计算全息图生成、三维衍射传播计算和相关数值仿真的计算需求。具体配置要求如下：</w:t>
            </w:r>
          </w:p>
          <w:p w14:paraId="78A7A1BE">
            <w:pPr>
              <w:spacing w:line="252" w:lineRule="auto"/>
              <w:jc w:val="left"/>
              <w:rPr>
                <w:sz w:val="24"/>
                <w:szCs w:val="24"/>
              </w:rPr>
            </w:pPr>
            <w:r>
              <w:rPr>
                <w:rFonts w:ascii="宋体" w:hAnsi="宋体"/>
                <w:sz w:val="24"/>
                <w:szCs w:val="24"/>
              </w:rPr>
              <w:t>1.内存：512GB DDR5-4800 ECC RDIMM服务器内存，由16条32GB内存组成；</w:t>
            </w:r>
          </w:p>
          <w:p w14:paraId="51F4DD80">
            <w:pPr>
              <w:spacing w:line="252" w:lineRule="auto"/>
              <w:jc w:val="left"/>
              <w:rPr>
                <w:sz w:val="24"/>
                <w:szCs w:val="24"/>
              </w:rPr>
            </w:pPr>
            <w:r>
              <w:rPr>
                <w:rFonts w:ascii="宋体" w:hAnsi="宋体"/>
                <w:sz w:val="24"/>
                <w:szCs w:val="24"/>
              </w:rPr>
              <w:t>2.CPU：2颗服务器处理器，单颗CPU 48核、96线程，共96核、192线程；单颗基础主频不低于2.8GHz，最高睿频不低于3.3GHz；单颗计算性能不得低于“Intel Xeon Platinum 8575C”；</w:t>
            </w:r>
          </w:p>
          <w:p w14:paraId="39E24B7F">
            <w:pPr>
              <w:spacing w:line="252" w:lineRule="auto"/>
              <w:jc w:val="left"/>
              <w:rPr>
                <w:sz w:val="24"/>
                <w:szCs w:val="24"/>
              </w:rPr>
            </w:pPr>
            <w:r>
              <w:rPr>
                <w:rFonts w:ascii="宋体" w:hAnsi="宋体"/>
                <w:sz w:val="24"/>
                <w:szCs w:val="24"/>
              </w:rPr>
              <w:t>3.硬盘：1块1.92TB U.2 NVMe企业级固态硬盘，以及1块8TB SATA企业级机械硬盘；</w:t>
            </w:r>
          </w:p>
          <w:p w14:paraId="3977125E">
            <w:pPr>
              <w:spacing w:line="252" w:lineRule="auto"/>
              <w:jc w:val="left"/>
              <w:rPr>
                <w:sz w:val="24"/>
                <w:szCs w:val="24"/>
              </w:rPr>
            </w:pPr>
            <w:r>
              <w:rPr>
                <w:rFonts w:ascii="宋体" w:hAnsi="宋体"/>
                <w:sz w:val="24"/>
                <w:szCs w:val="24"/>
              </w:rPr>
              <w:t>4.GPU：2块专业计算显卡，单卡显存不低于84GB，共168GB；</w:t>
            </w:r>
          </w:p>
          <w:p w14:paraId="280861B6">
            <w:pPr>
              <w:spacing w:line="252" w:lineRule="auto"/>
              <w:jc w:val="left"/>
              <w:rPr>
                <w:sz w:val="24"/>
                <w:szCs w:val="24"/>
              </w:rPr>
            </w:pPr>
            <w:r>
              <w:rPr>
                <w:rFonts w:ascii="宋体" w:hAnsi="宋体"/>
                <w:sz w:val="24"/>
                <w:szCs w:val="24"/>
              </w:rPr>
              <w:t>5.电源：不低于3000W全模组电源；</w:t>
            </w:r>
          </w:p>
          <w:p w14:paraId="64995A7B">
            <w:pPr>
              <w:spacing w:line="252" w:lineRule="auto"/>
              <w:jc w:val="left"/>
              <w:rPr>
                <w:sz w:val="24"/>
                <w:szCs w:val="24"/>
              </w:rPr>
            </w:pPr>
            <w:r>
              <w:rPr>
                <w:rFonts w:ascii="宋体" w:hAnsi="宋体"/>
                <w:sz w:val="24"/>
                <w:szCs w:val="24"/>
              </w:rPr>
              <w:t>6.机箱：满足双路处理器及双专业显卡的安装与高效散热要求；</w:t>
            </w:r>
          </w:p>
          <w:p w14:paraId="6A3118F1">
            <w:pPr>
              <w:spacing w:line="252" w:lineRule="auto"/>
              <w:jc w:val="left"/>
              <w:rPr>
                <w:sz w:val="24"/>
                <w:szCs w:val="24"/>
              </w:rPr>
            </w:pPr>
            <w:r>
              <w:rPr>
                <w:rFonts w:ascii="宋体" w:hAnsi="宋体"/>
                <w:sz w:val="24"/>
                <w:szCs w:val="24"/>
              </w:rPr>
              <w:t>7.外设：27英寸4K显示器1台；</w:t>
            </w:r>
          </w:p>
          <w:p w14:paraId="1644D9F4">
            <w:pPr>
              <w:spacing w:line="252" w:lineRule="auto"/>
              <w:jc w:val="left"/>
              <w:rPr>
                <w:rFonts w:hint="eastAsia"/>
                <w:bCs/>
                <w:sz w:val="24"/>
                <w:szCs w:val="24"/>
              </w:rPr>
            </w:pPr>
            <w:r>
              <w:rPr>
                <w:rFonts w:ascii="宋体" w:hAnsi="宋体"/>
                <w:sz w:val="24"/>
                <w:szCs w:val="24"/>
              </w:rPr>
              <w:t>8.服务：提供为期三年的免费质保与技术支持。</w:t>
            </w:r>
          </w:p>
        </w:tc>
        <w:tc>
          <w:tcPr>
            <w:tcW w:w="1201" w:type="dxa"/>
            <w:vAlign w:val="center"/>
          </w:tcPr>
          <w:p w14:paraId="3494B2B7">
            <w:pPr>
              <w:spacing w:line="240" w:lineRule="atLeast"/>
              <w:jc w:val="center"/>
              <w:rPr>
                <w:sz w:val="24"/>
                <w:szCs w:val="24"/>
              </w:rPr>
            </w:pPr>
          </w:p>
        </w:tc>
        <w:tc>
          <w:tcPr>
            <w:tcW w:w="992" w:type="dxa"/>
            <w:vAlign w:val="center"/>
          </w:tcPr>
          <w:p w14:paraId="4AB5E24F">
            <w:pPr>
              <w:spacing w:line="240" w:lineRule="atLeast"/>
              <w:jc w:val="center"/>
              <w:rPr>
                <w:sz w:val="24"/>
                <w:szCs w:val="24"/>
              </w:rPr>
            </w:pPr>
          </w:p>
        </w:tc>
      </w:tr>
      <w:tr w14:paraId="41B7F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7" w:hRule="atLeast"/>
        </w:trPr>
        <w:tc>
          <w:tcPr>
            <w:tcW w:w="705" w:type="dxa"/>
            <w:vAlign w:val="center"/>
          </w:tcPr>
          <w:p w14:paraId="1FB5921D">
            <w:pPr>
              <w:spacing w:line="240" w:lineRule="atLeast"/>
              <w:jc w:val="center"/>
              <w:rPr>
                <w:sz w:val="24"/>
                <w:szCs w:val="24"/>
              </w:rPr>
            </w:pPr>
            <w:r>
              <w:rPr>
                <w:sz w:val="24"/>
                <w:szCs w:val="24"/>
              </w:rPr>
              <w:t>2</w:t>
            </w:r>
          </w:p>
        </w:tc>
        <w:tc>
          <w:tcPr>
            <w:tcW w:w="1561" w:type="dxa"/>
            <w:tcBorders>
              <w:top w:val="single" w:color="auto" w:sz="4" w:space="0"/>
              <w:left w:val="single" w:color="auto" w:sz="4" w:space="0"/>
              <w:bottom w:val="single" w:color="auto" w:sz="4" w:space="0"/>
              <w:right w:val="single" w:color="auto" w:sz="4" w:space="0"/>
            </w:tcBorders>
            <w:shd w:val="clear" w:color="auto" w:fill="auto"/>
            <w:vAlign w:val="center"/>
          </w:tcPr>
          <w:p w14:paraId="6E87ED25">
            <w:pPr>
              <w:widowControl/>
              <w:spacing w:line="240" w:lineRule="atLeast"/>
              <w:jc w:val="center"/>
              <w:rPr>
                <w:sz w:val="24"/>
                <w:szCs w:val="24"/>
              </w:rPr>
            </w:pPr>
            <w:r>
              <w:rPr>
                <w:rFonts w:hint="eastAsia"/>
                <w:sz w:val="24"/>
                <w:szCs w:val="24"/>
              </w:rPr>
              <w:t>商务条款</w:t>
            </w:r>
          </w:p>
        </w:tc>
        <w:tc>
          <w:tcPr>
            <w:tcW w:w="5322" w:type="dxa"/>
            <w:tcBorders>
              <w:top w:val="single" w:color="auto" w:sz="4" w:space="0"/>
              <w:left w:val="nil"/>
              <w:bottom w:val="single" w:color="auto" w:sz="4" w:space="0"/>
              <w:right w:val="single" w:color="auto" w:sz="4" w:space="0"/>
            </w:tcBorders>
            <w:shd w:val="clear" w:color="auto" w:fill="auto"/>
            <w:vAlign w:val="center"/>
          </w:tcPr>
          <w:p w14:paraId="671966D6">
            <w:pPr>
              <w:tabs>
                <w:tab w:val="left" w:pos="6915"/>
              </w:tabs>
              <w:jc w:val="both"/>
              <w:rPr>
                <w:rFonts w:hint="default" w:ascii="Times New Roman" w:hAnsi="Times New Roman" w:eastAsia="宋体" w:cs="Times New Roman"/>
                <w:bCs/>
                <w:sz w:val="24"/>
                <w:szCs w:val="24"/>
              </w:rPr>
            </w:pPr>
            <w:r>
              <w:rPr>
                <w:rFonts w:hint="default" w:ascii="Times New Roman" w:hAnsi="Times New Roman" w:eastAsia="宋体" w:cs="Times New Roman"/>
                <w:b/>
                <w:sz w:val="24"/>
                <w:szCs w:val="24"/>
              </w:rPr>
              <w:t>交货期：</w:t>
            </w:r>
            <w:r>
              <w:rPr>
                <w:rFonts w:hint="eastAsia" w:ascii="Times New Roman" w:hAnsi="Times New Roman" w:eastAsia="宋体" w:cs="Times New Roman"/>
                <w:bCs/>
                <w:sz w:val="24"/>
                <w:szCs w:val="24"/>
                <w:lang w:val="en-US" w:eastAsia="zh-CN"/>
              </w:rPr>
              <w:t>合同签订</w:t>
            </w:r>
            <w:r>
              <w:rPr>
                <w:rFonts w:hint="default" w:ascii="Times New Roman" w:hAnsi="Times New Roman" w:cs="Times New Roman"/>
                <w:bCs/>
                <w:sz w:val="24"/>
                <w:szCs w:val="24"/>
              </w:rPr>
              <w:t>后</w:t>
            </w:r>
            <w:r>
              <w:rPr>
                <w:rFonts w:hint="eastAsia" w:ascii="Times New Roman" w:hAnsi="Times New Roman" w:cs="Times New Roman"/>
                <w:bCs/>
                <w:sz w:val="24"/>
                <w:szCs w:val="24"/>
                <w:lang w:val="en-US" w:eastAsia="zh-CN"/>
              </w:rPr>
              <w:t>1</w:t>
            </w:r>
            <w:r>
              <w:rPr>
                <w:rFonts w:hint="default" w:ascii="Times New Roman" w:hAnsi="Times New Roman" w:cs="Times New Roman"/>
                <w:bCs/>
                <w:sz w:val="24"/>
                <w:szCs w:val="24"/>
              </w:rPr>
              <w:t>个月内</w:t>
            </w:r>
          </w:p>
          <w:p w14:paraId="756EAFFB">
            <w:pPr>
              <w:tabs>
                <w:tab w:val="left" w:pos="6915"/>
              </w:tabs>
              <w:jc w:val="both"/>
              <w:rPr>
                <w:rFonts w:hint="default" w:ascii="Times New Roman" w:hAnsi="Times New Roman" w:eastAsia="宋体" w:cs="Times New Roman"/>
                <w:bCs/>
                <w:sz w:val="24"/>
                <w:szCs w:val="24"/>
                <w:lang w:val="en-US" w:eastAsia="zh-CN"/>
              </w:rPr>
            </w:pPr>
            <w:r>
              <w:rPr>
                <w:rFonts w:hint="default" w:ascii="Times New Roman" w:hAnsi="Times New Roman" w:eastAsia="宋体" w:cs="Times New Roman"/>
                <w:b/>
                <w:sz w:val="24"/>
                <w:szCs w:val="24"/>
              </w:rPr>
              <w:t>交付进度：</w:t>
            </w:r>
            <w:r>
              <w:rPr>
                <w:rFonts w:hint="default" w:ascii="Times New Roman" w:hAnsi="Times New Roman" w:eastAsia="宋体" w:cs="Times New Roman"/>
                <w:bCs/>
                <w:sz w:val="24"/>
                <w:szCs w:val="24"/>
                <w:lang w:val="en-US" w:eastAsia="zh-CN"/>
              </w:rPr>
              <w:t>一次性交付</w:t>
            </w:r>
          </w:p>
          <w:p w14:paraId="77C12A8B">
            <w:pPr>
              <w:keepNext/>
              <w:jc w:val="left"/>
              <w:rPr>
                <w:sz w:val="24"/>
                <w:szCs w:val="24"/>
              </w:rPr>
            </w:pPr>
            <w:r>
              <w:rPr>
                <w:rFonts w:hint="default" w:ascii="Times New Roman" w:hAnsi="Times New Roman" w:eastAsia="宋体" w:cs="Times New Roman"/>
                <w:b/>
                <w:sz w:val="24"/>
                <w:szCs w:val="24"/>
              </w:rPr>
              <w:t>付款方式：</w:t>
            </w:r>
            <w:r>
              <w:rPr>
                <w:rFonts w:hint="default" w:ascii="Times New Roman" w:hAnsi="Times New Roman" w:eastAsia="宋体" w:cs="Times New Roman"/>
                <w:b/>
                <w:sz w:val="24"/>
                <w:szCs w:val="24"/>
              </w:rPr>
              <w:br w:type="textWrapping"/>
            </w:r>
            <w:r>
              <w:rPr>
                <w:rFonts w:ascii="宋体" w:hAnsi="宋体"/>
                <w:b/>
                <w:sz w:val="24"/>
                <w:szCs w:val="24"/>
              </w:rPr>
              <w:t>1）国产设备：</w:t>
            </w:r>
          </w:p>
          <w:p w14:paraId="488A1799">
            <w:pPr>
              <w:jc w:val="left"/>
              <w:rPr>
                <w:sz w:val="24"/>
                <w:szCs w:val="24"/>
              </w:rPr>
            </w:pPr>
            <w:r>
              <w:rPr>
                <w:rFonts w:ascii="宋体" w:hAnsi="宋体"/>
                <w:sz w:val="24"/>
                <w:szCs w:val="24"/>
              </w:rPr>
              <w:t>（1）合同签订后，支付合同总价的50%；</w:t>
            </w:r>
          </w:p>
          <w:p w14:paraId="74B82138">
            <w:pPr>
              <w:jc w:val="left"/>
              <w:rPr>
                <w:sz w:val="24"/>
                <w:szCs w:val="24"/>
              </w:rPr>
            </w:pPr>
            <w:r>
              <w:rPr>
                <w:rFonts w:ascii="宋体" w:hAnsi="宋体"/>
                <w:sz w:val="24"/>
                <w:szCs w:val="24"/>
              </w:rPr>
              <w:t>（2）货到指定地点并且验收合格后，支付合同总价的50%。</w:t>
            </w:r>
          </w:p>
          <w:p w14:paraId="56DF5CF9">
            <w:pPr>
              <w:keepNext/>
              <w:jc w:val="left"/>
              <w:rPr>
                <w:sz w:val="24"/>
                <w:szCs w:val="24"/>
              </w:rPr>
            </w:pPr>
            <w:r>
              <w:rPr>
                <w:rFonts w:ascii="宋体" w:hAnsi="宋体"/>
                <w:b/>
                <w:sz w:val="24"/>
                <w:szCs w:val="24"/>
              </w:rPr>
              <w:t>2）进口设备：</w:t>
            </w:r>
          </w:p>
          <w:p w14:paraId="51FEB192">
            <w:pPr>
              <w:jc w:val="left"/>
              <w:rPr>
                <w:sz w:val="24"/>
                <w:szCs w:val="24"/>
              </w:rPr>
            </w:pPr>
            <w:r>
              <w:rPr>
                <w:rFonts w:ascii="宋体" w:hAnsi="宋体"/>
                <w:sz w:val="24"/>
                <w:szCs w:val="24"/>
              </w:rPr>
              <w:t>（1）凭发货运单以TT方式支付合同金额的90%；</w:t>
            </w:r>
          </w:p>
          <w:p w14:paraId="516D9456">
            <w:pPr>
              <w:jc w:val="left"/>
              <w:rPr>
                <w:rFonts w:hint="default" w:ascii="Times New Roman" w:hAnsi="Times New Roman" w:eastAsia="宋体" w:cs="Times New Roman"/>
                <w:b/>
                <w:sz w:val="24"/>
                <w:szCs w:val="24"/>
              </w:rPr>
            </w:pPr>
            <w:r>
              <w:rPr>
                <w:rFonts w:ascii="宋体" w:hAnsi="宋体"/>
                <w:sz w:val="24"/>
                <w:szCs w:val="24"/>
              </w:rPr>
              <w:t>（2）现场验收合格后支付合同总金额10%的尾款。</w:t>
            </w:r>
          </w:p>
          <w:p w14:paraId="1C5535C5">
            <w:pPr>
              <w:keepNext w:val="0"/>
              <w:keepLines w:val="0"/>
              <w:pageBreakBefore w:val="0"/>
              <w:widowControl/>
              <w:tabs>
                <w:tab w:val="left" w:pos="312"/>
              </w:tabs>
              <w:kinsoku/>
              <w:wordWrap/>
              <w:topLinePunct w:val="0"/>
              <w:autoSpaceDE/>
              <w:autoSpaceDN/>
              <w:bidi w:val="0"/>
              <w:adjustRightInd w:val="0"/>
              <w:snapToGrid w:val="0"/>
              <w:spacing w:line="264" w:lineRule="auto"/>
              <w:jc w:val="both"/>
              <w:textAlignment w:val="auto"/>
              <w:rPr>
                <w:rFonts w:ascii="宋体" w:hAnsi="宋体"/>
                <w:b/>
                <w:sz w:val="24"/>
                <w:szCs w:val="24"/>
              </w:rPr>
            </w:pPr>
            <w:r>
              <w:rPr>
                <w:rFonts w:hint="default" w:ascii="Times New Roman" w:hAnsi="Times New Roman" w:eastAsia="宋体" w:cs="Times New Roman"/>
                <w:b/>
                <w:sz w:val="24"/>
                <w:szCs w:val="24"/>
              </w:rPr>
              <w:t>验收指标及验收要求：</w:t>
            </w:r>
          </w:p>
          <w:p w14:paraId="76B794E3">
            <w:pPr>
              <w:spacing w:after="20"/>
              <w:ind w:firstLine="420"/>
              <w:jc w:val="left"/>
              <w:rPr>
                <w:sz w:val="24"/>
                <w:szCs w:val="24"/>
              </w:rPr>
            </w:pPr>
            <w:r>
              <w:rPr>
                <w:rFonts w:ascii="宋体" w:hAnsi="宋体"/>
                <w:sz w:val="24"/>
                <w:szCs w:val="24"/>
              </w:rPr>
              <w:t>设备到货后依据合同及本询价要求逐项验收。设备数量、规格型号及配置应与合同一致，外观完好，开机运行正常；通过BIOS、操作系统或硬件检测工具核验CPU、内存、硬盘、GPU等主要硬件配置。具体指标如下：</w:t>
            </w:r>
          </w:p>
          <w:p w14:paraId="7BD7D10E">
            <w:pPr>
              <w:jc w:val="left"/>
              <w:rPr>
                <w:sz w:val="24"/>
                <w:szCs w:val="24"/>
              </w:rPr>
            </w:pPr>
            <w:r>
              <w:rPr>
                <w:rFonts w:ascii="宋体" w:hAnsi="宋体"/>
                <w:sz w:val="24"/>
                <w:szCs w:val="24"/>
              </w:rPr>
              <w:t>1.内存容量为512GB，类型为DDR5-4800 ECC RDIMM，由16条32GB内存组成；</w:t>
            </w:r>
          </w:p>
          <w:p w14:paraId="217C0B63">
            <w:pPr>
              <w:jc w:val="left"/>
              <w:rPr>
                <w:sz w:val="24"/>
                <w:szCs w:val="24"/>
              </w:rPr>
            </w:pPr>
            <w:r>
              <w:rPr>
                <w:rFonts w:ascii="宋体" w:hAnsi="宋体"/>
                <w:sz w:val="24"/>
                <w:szCs w:val="24"/>
              </w:rPr>
              <w:t>2.配置2颗服务器处理器，单颗48核、96线程，共96核、192线程；单颗基础主频不低于2.8GHz，最高睿频不低于3.3GHz；单颗计算性能不得低于“Intel Xeon Platinum 8575C”；</w:t>
            </w:r>
          </w:p>
          <w:p w14:paraId="2ECD8DD6">
            <w:pPr>
              <w:jc w:val="left"/>
              <w:rPr>
                <w:sz w:val="24"/>
                <w:szCs w:val="24"/>
              </w:rPr>
            </w:pPr>
            <w:r>
              <w:rPr>
                <w:rFonts w:ascii="宋体" w:hAnsi="宋体"/>
                <w:sz w:val="24"/>
                <w:szCs w:val="24"/>
              </w:rPr>
              <w:t>3.配置1块1.92TB U.2 NVMe企业级固态硬盘和1块8TB SATA企业级机械硬盘；</w:t>
            </w:r>
          </w:p>
          <w:p w14:paraId="1EC71F6A">
            <w:pPr>
              <w:jc w:val="left"/>
              <w:rPr>
                <w:sz w:val="24"/>
                <w:szCs w:val="24"/>
              </w:rPr>
            </w:pPr>
            <w:r>
              <w:rPr>
                <w:rFonts w:ascii="宋体" w:hAnsi="宋体"/>
                <w:sz w:val="24"/>
                <w:szCs w:val="24"/>
              </w:rPr>
              <w:t>4.配置2块专业计算显卡，单卡显存不低于84GB，总显存不低于168GB；</w:t>
            </w:r>
          </w:p>
          <w:p w14:paraId="580CE2B9">
            <w:pPr>
              <w:jc w:val="left"/>
              <w:rPr>
                <w:sz w:val="24"/>
                <w:szCs w:val="24"/>
              </w:rPr>
            </w:pPr>
            <w:r>
              <w:rPr>
                <w:rFonts w:ascii="宋体" w:hAnsi="宋体"/>
                <w:sz w:val="24"/>
                <w:szCs w:val="24"/>
              </w:rPr>
              <w:t>5.电源功率不低于3000W，为全模组电源；</w:t>
            </w:r>
          </w:p>
          <w:p w14:paraId="0162BC69">
            <w:pPr>
              <w:jc w:val="left"/>
              <w:rPr>
                <w:sz w:val="24"/>
                <w:szCs w:val="24"/>
              </w:rPr>
            </w:pPr>
            <w:r>
              <w:rPr>
                <w:rFonts w:ascii="宋体" w:hAnsi="宋体"/>
                <w:sz w:val="24"/>
                <w:szCs w:val="24"/>
              </w:rPr>
              <w:t>6.机箱能够满足双路处理器、双专业显卡安装及高效散热要求；</w:t>
            </w:r>
          </w:p>
          <w:p w14:paraId="43E2BC85">
            <w:pPr>
              <w:jc w:val="left"/>
              <w:rPr>
                <w:sz w:val="24"/>
                <w:szCs w:val="24"/>
              </w:rPr>
            </w:pPr>
            <w:r>
              <w:rPr>
                <w:rFonts w:ascii="宋体" w:hAnsi="宋体"/>
                <w:sz w:val="24"/>
                <w:szCs w:val="24"/>
              </w:rPr>
              <w:t>7.配置27英寸4K显示器1台；</w:t>
            </w:r>
          </w:p>
          <w:p w14:paraId="6C6712E1">
            <w:pPr>
              <w:jc w:val="left"/>
              <w:rPr>
                <w:sz w:val="24"/>
                <w:szCs w:val="24"/>
              </w:rPr>
            </w:pPr>
            <w:r>
              <w:rPr>
                <w:rFonts w:ascii="宋体" w:hAnsi="宋体"/>
                <w:sz w:val="24"/>
                <w:szCs w:val="24"/>
              </w:rPr>
              <w:t>8.提供三年免费质保与技术支持。</w:t>
            </w:r>
          </w:p>
          <w:p w14:paraId="0028D283">
            <w:pPr>
              <w:tabs>
                <w:tab w:val="left" w:pos="6915"/>
              </w:tabs>
              <w:jc w:val="both"/>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保修及售后服务：</w:t>
            </w:r>
          </w:p>
          <w:p w14:paraId="58E11C13">
            <w:pPr>
              <w:tabs>
                <w:tab w:val="left" w:pos="6915"/>
              </w:tabs>
              <w:jc w:val="both"/>
              <w:rPr>
                <w:rFonts w:hint="eastAsia" w:ascii="Times New Roman" w:hAnsi="Times New Roman" w:eastAsia="宋体" w:cs="Times New Roman"/>
                <w:sz w:val="24"/>
                <w:szCs w:val="24"/>
              </w:rPr>
            </w:pPr>
            <w:r>
              <w:rPr>
                <w:rFonts w:ascii="宋体" w:hAnsi="宋体"/>
                <w:sz w:val="24"/>
                <w:szCs w:val="24"/>
              </w:rPr>
              <w:t>3年（保修期自设备验收合格之日起计算），保修期内提供免费质保与技术支持；</w:t>
            </w:r>
            <w:bookmarkStart w:id="0" w:name="_GoBack"/>
            <w:bookmarkEnd w:id="0"/>
          </w:p>
        </w:tc>
        <w:tc>
          <w:tcPr>
            <w:tcW w:w="1201" w:type="dxa"/>
            <w:vAlign w:val="center"/>
          </w:tcPr>
          <w:p w14:paraId="5D3E4FB5">
            <w:pPr>
              <w:spacing w:line="240" w:lineRule="atLeast"/>
              <w:jc w:val="center"/>
              <w:rPr>
                <w:sz w:val="24"/>
                <w:szCs w:val="24"/>
              </w:rPr>
            </w:pPr>
          </w:p>
        </w:tc>
        <w:tc>
          <w:tcPr>
            <w:tcW w:w="992" w:type="dxa"/>
            <w:vAlign w:val="center"/>
          </w:tcPr>
          <w:p w14:paraId="643744E8">
            <w:pPr>
              <w:spacing w:line="240" w:lineRule="atLeast"/>
              <w:jc w:val="center"/>
              <w:rPr>
                <w:sz w:val="24"/>
                <w:szCs w:val="24"/>
              </w:rPr>
            </w:pPr>
          </w:p>
        </w:tc>
      </w:tr>
    </w:tbl>
    <w:p w14:paraId="09E50913">
      <w:pPr>
        <w:ind w:right="840"/>
        <w:jc w:val="right"/>
        <w:rPr>
          <w:rFonts w:hint="eastAsia"/>
          <w:sz w:val="24"/>
          <w:szCs w:val="24"/>
          <w:lang w:val="en-US" w:eastAsia="zh-CN"/>
        </w:rPr>
      </w:pPr>
      <w:r>
        <w:rPr>
          <w:rFonts w:hint="eastAsia"/>
          <w:sz w:val="24"/>
          <w:szCs w:val="24"/>
          <w:lang w:val="en-US" w:eastAsia="zh-CN"/>
        </w:rPr>
        <w:t xml:space="preserve">  </w:t>
      </w:r>
    </w:p>
    <w:p w14:paraId="7B03329C">
      <w:pPr>
        <w:ind w:right="840"/>
        <w:jc w:val="right"/>
        <w:rPr>
          <w:sz w:val="24"/>
          <w:szCs w:val="24"/>
        </w:rPr>
      </w:pPr>
      <w:r>
        <w:rPr>
          <w:sz w:val="24"/>
          <w:szCs w:val="24"/>
        </w:rPr>
        <w:t>公司名称</w:t>
      </w:r>
      <w:r>
        <w:rPr>
          <w:rFonts w:hint="eastAsia"/>
          <w:sz w:val="24"/>
          <w:szCs w:val="24"/>
        </w:rPr>
        <w:t>（盖章）：</w:t>
      </w:r>
    </w:p>
    <w:p w14:paraId="77E7A2D5">
      <w:pPr>
        <w:ind w:right="840"/>
        <w:jc w:val="right"/>
      </w:pPr>
      <w:r>
        <w:rPr>
          <w:sz w:val="24"/>
          <w:szCs w:val="24"/>
        </w:rPr>
        <w:t>日期</w:t>
      </w:r>
      <w:r>
        <w:rPr>
          <w:rFonts w:hint="eastAsia"/>
          <w:sz w:val="24"/>
          <w:szCs w:val="24"/>
        </w:rPr>
        <w:t>：</w:t>
      </w:r>
    </w:p>
    <w:p w14:paraId="59B4DDFD"/>
    <w:p w14:paraId="4D0C580A"/>
    <w:p w14:paraId="00BC098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EF6C24"/>
    <w:rsid w:val="04EF6C24"/>
    <w:rsid w:val="1D0306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5">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1095</Words>
  <Characters>1328</Characters>
  <Lines>0</Lines>
  <Paragraphs>0</Paragraphs>
  <TotalTime>0</TotalTime>
  <ScaleCrop>false</ScaleCrop>
  <LinksUpToDate>false</LinksUpToDate>
  <CharactersWithSpaces>1342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2026-07-17T08:11:00Z</dcterms:created>
  <dc:creator>DELL</dc:creator>
  <cp:lastModifiedBy>DELL</cp:lastModifiedBy>
  <dcterms:modified xsi:type="dcterms:W3CDTF">2026-08-18T07:05:12Z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AA2E98EF11464FD7BFAC084830645038_13</vt:lpwstr>
  </property>
  <property fmtid="{D5CDD505-2E9C-101B-9397-08002B2CF9AE}" pid="4" name="KSOTemplateDocerSaveRecord">
    <vt:lpwstr>eyJoZGlkIjoiN2RmNGQ2MDc0ZGFiNmIyNjNmMmJiNzcxMzg1OWQzY2YifQ==</vt:lpwstr>
  </property>
</Properties>
</file>