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9955E" w14:textId="77777777" w:rsidR="00E625CB" w:rsidRDefault="00000000">
      <w:pPr>
        <w:jc w:val="center"/>
        <w:rPr>
          <w:sz w:val="36"/>
        </w:rPr>
      </w:pPr>
      <w:r>
        <w:rPr>
          <w:sz w:val="36"/>
        </w:rPr>
        <w:t>中国科学技术大学国家同步辐射实验室</w:t>
      </w:r>
    </w:p>
    <w:p w14:paraId="0973E65B" w14:textId="77777777" w:rsidR="00E625CB" w:rsidRDefault="00000000">
      <w:pPr>
        <w:jc w:val="center"/>
        <w:rPr>
          <w:sz w:val="36"/>
        </w:rPr>
      </w:pPr>
      <w:r>
        <w:rPr>
          <w:rFonts w:hint="eastAsia"/>
          <w:sz w:val="36"/>
        </w:rPr>
        <w:t>技术指标供应商确认表</w:t>
      </w:r>
    </w:p>
    <w:p w14:paraId="3E58F52B" w14:textId="77777777" w:rsidR="00E625CB" w:rsidRDefault="00E625CB"/>
    <w:tbl>
      <w:tblPr>
        <w:tblStyle w:val="a8"/>
        <w:tblW w:w="9781" w:type="dxa"/>
        <w:tblInd w:w="-572" w:type="dxa"/>
        <w:tblLayout w:type="fixed"/>
        <w:tblLook w:val="04A0" w:firstRow="1" w:lastRow="0" w:firstColumn="1" w:lastColumn="0" w:noHBand="0" w:noVBand="1"/>
      </w:tblPr>
      <w:tblGrid>
        <w:gridCol w:w="705"/>
        <w:gridCol w:w="1422"/>
        <w:gridCol w:w="5244"/>
        <w:gridCol w:w="1418"/>
        <w:gridCol w:w="992"/>
      </w:tblGrid>
      <w:tr w:rsidR="00E625CB" w14:paraId="3979FFF1" w14:textId="77777777">
        <w:trPr>
          <w:trHeight w:val="976"/>
        </w:trPr>
        <w:tc>
          <w:tcPr>
            <w:tcW w:w="705" w:type="dxa"/>
            <w:vAlign w:val="center"/>
          </w:tcPr>
          <w:p w14:paraId="75C250BA" w14:textId="77777777" w:rsidR="00E625CB" w:rsidRDefault="00000000">
            <w:pPr>
              <w:spacing w:line="240" w:lineRule="atLeast"/>
              <w:jc w:val="center"/>
              <w:rPr>
                <w:sz w:val="22"/>
              </w:rPr>
            </w:pPr>
            <w:r>
              <w:rPr>
                <w:rFonts w:hint="eastAsia"/>
                <w:sz w:val="22"/>
              </w:rPr>
              <w:t>序号</w:t>
            </w:r>
          </w:p>
        </w:tc>
        <w:tc>
          <w:tcPr>
            <w:tcW w:w="1422" w:type="dxa"/>
            <w:vAlign w:val="center"/>
          </w:tcPr>
          <w:p w14:paraId="3A9FF52B" w14:textId="77777777" w:rsidR="00E625CB" w:rsidRDefault="00000000">
            <w:pPr>
              <w:spacing w:line="240" w:lineRule="atLeast"/>
              <w:jc w:val="center"/>
              <w:rPr>
                <w:sz w:val="22"/>
              </w:rPr>
            </w:pPr>
            <w:r>
              <w:rPr>
                <w:rFonts w:hint="eastAsia"/>
                <w:sz w:val="22"/>
              </w:rPr>
              <w:t>名称</w:t>
            </w:r>
          </w:p>
        </w:tc>
        <w:tc>
          <w:tcPr>
            <w:tcW w:w="5244" w:type="dxa"/>
            <w:vAlign w:val="center"/>
          </w:tcPr>
          <w:p w14:paraId="258D475E" w14:textId="77777777" w:rsidR="00E625CB" w:rsidRDefault="00000000">
            <w:pPr>
              <w:spacing w:line="240" w:lineRule="atLeast"/>
              <w:jc w:val="center"/>
              <w:rPr>
                <w:sz w:val="22"/>
              </w:rPr>
            </w:pPr>
            <w:r>
              <w:rPr>
                <w:rFonts w:hint="eastAsia"/>
                <w:sz w:val="22"/>
              </w:rPr>
              <w:t>技术指标</w:t>
            </w:r>
          </w:p>
        </w:tc>
        <w:tc>
          <w:tcPr>
            <w:tcW w:w="1418" w:type="dxa"/>
            <w:vAlign w:val="center"/>
          </w:tcPr>
          <w:p w14:paraId="37F7A556" w14:textId="77777777" w:rsidR="00E625CB" w:rsidRDefault="00000000">
            <w:pPr>
              <w:spacing w:line="240" w:lineRule="atLeast"/>
              <w:jc w:val="center"/>
              <w:rPr>
                <w:szCs w:val="21"/>
              </w:rPr>
            </w:pPr>
            <w:r>
              <w:rPr>
                <w:rFonts w:hint="eastAsia"/>
                <w:szCs w:val="21"/>
              </w:rPr>
              <w:t>偏离说明</w:t>
            </w:r>
          </w:p>
          <w:p w14:paraId="328E92F5" w14:textId="77777777" w:rsidR="00E625CB" w:rsidRDefault="00000000">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14:textId="77777777" w:rsidR="00E625CB" w:rsidRDefault="00000000">
            <w:pPr>
              <w:spacing w:line="240" w:lineRule="atLeast"/>
              <w:jc w:val="center"/>
              <w:rPr>
                <w:sz w:val="24"/>
              </w:rPr>
            </w:pPr>
            <w:r>
              <w:rPr>
                <w:rFonts w:hint="eastAsia"/>
                <w:sz w:val="22"/>
              </w:rPr>
              <w:t>偏离值</w:t>
            </w:r>
          </w:p>
        </w:tc>
      </w:tr>
      <w:tr w:rsidR="009662CD" w14:paraId="3943849B" w14:textId="77777777">
        <w:trPr>
          <w:trHeight w:val="1433"/>
        </w:trPr>
        <w:tc>
          <w:tcPr>
            <w:tcW w:w="705" w:type="dxa"/>
            <w:vAlign w:val="center"/>
          </w:tcPr>
          <w:p w14:paraId="185CA09D" w14:textId="77777777" w:rsidR="009662CD" w:rsidRDefault="009662CD" w:rsidP="009662CD">
            <w:pPr>
              <w:spacing w:line="240" w:lineRule="atLeast"/>
              <w:jc w:val="center"/>
            </w:pPr>
            <w:r>
              <w:rPr>
                <w:rFonts w:hint="eastAsia"/>
              </w:rPr>
              <w:t>1</w:t>
            </w:r>
          </w:p>
        </w:tc>
        <w:tc>
          <w:tcPr>
            <w:tcW w:w="1422" w:type="dxa"/>
            <w:tcBorders>
              <w:bottom w:val="single" w:sz="4" w:space="0" w:color="auto"/>
            </w:tcBorders>
            <w:shd w:val="clear" w:color="auto" w:fill="auto"/>
            <w:vAlign w:val="center"/>
          </w:tcPr>
          <w:p w14:paraId="348A5544" w14:textId="6A995242" w:rsidR="009662CD" w:rsidRPr="00510C74" w:rsidRDefault="00DA098C" w:rsidP="009662CD">
            <w:pPr>
              <w:widowControl/>
              <w:spacing w:line="240" w:lineRule="atLeast"/>
              <w:jc w:val="center"/>
              <w:rPr>
                <w:rFonts w:ascii="Times New Roman" w:eastAsia="宋体" w:hAnsi="Times New Roman" w:cs="Times New Roman"/>
                <w:szCs w:val="24"/>
              </w:rPr>
            </w:pPr>
            <w:r w:rsidRPr="00DA098C">
              <w:rPr>
                <w:rFonts w:ascii="Times New Roman" w:eastAsia="宋体" w:hAnsi="Times New Roman" w:cs="Times New Roman" w:hint="eastAsia"/>
                <w:sz w:val="24"/>
                <w:szCs w:val="24"/>
              </w:rPr>
              <w:t>分子束外延生长系统</w:t>
            </w:r>
          </w:p>
        </w:tc>
        <w:tc>
          <w:tcPr>
            <w:tcW w:w="5244" w:type="dxa"/>
            <w:tcBorders>
              <w:bottom w:val="single" w:sz="4" w:space="0" w:color="auto"/>
            </w:tcBorders>
            <w:shd w:val="clear" w:color="auto" w:fill="auto"/>
            <w:vAlign w:val="center"/>
          </w:tcPr>
          <w:p w14:paraId="0DAE7F7B" w14:textId="77777777" w:rsidR="00DA098C" w:rsidRDefault="00DA098C" w:rsidP="00DA098C">
            <w:pPr>
              <w:tabs>
                <w:tab w:val="left" w:pos="6915"/>
              </w:tabs>
              <w:ind w:firstLineChars="200" w:firstLine="480"/>
              <w:jc w:val="left"/>
              <w:rPr>
                <w:rFonts w:ascii="宋体" w:hAnsi="宋体" w:cs="宋体" w:hint="eastAsia"/>
                <w:bCs/>
                <w:sz w:val="24"/>
              </w:rPr>
            </w:pPr>
            <w:r>
              <w:rPr>
                <w:rFonts w:ascii="宋体" w:hAnsi="宋体" w:cs="宋体" w:hint="eastAsia"/>
                <w:bCs/>
                <w:sz w:val="24"/>
              </w:rPr>
              <w:t>分子束外延生长系统</w:t>
            </w:r>
            <w:r>
              <w:rPr>
                <w:rFonts w:ascii="宋体" w:hAnsi="宋体" w:hint="eastAsia"/>
                <w:bCs/>
                <w:sz w:val="24"/>
              </w:rPr>
              <w:t>，数量1套。</w:t>
            </w:r>
            <w:r>
              <w:rPr>
                <w:rFonts w:ascii="宋体" w:hAnsi="宋体" w:cs="宋体" w:hint="eastAsia"/>
                <w:bCs/>
                <w:sz w:val="24"/>
              </w:rPr>
              <w:t>用于</w:t>
            </w:r>
            <w:r>
              <w:rPr>
                <w:rFonts w:ascii="宋体" w:hAnsi="宋体" w:hint="eastAsia"/>
                <w:bCs/>
                <w:sz w:val="24"/>
              </w:rPr>
              <w:t>极紫外电子态表征及光刻工艺</w:t>
            </w:r>
            <w:r>
              <w:rPr>
                <w:rFonts w:ascii="宋体" w:hAnsi="宋体" w:cs="宋体" w:hint="eastAsia"/>
                <w:bCs/>
                <w:sz w:val="24"/>
              </w:rPr>
              <w:t>实验站薄膜样品的生长和单晶样品的预处理（退火、氩刻等）。</w:t>
            </w:r>
          </w:p>
          <w:p w14:paraId="7A5D5018"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sidRPr="00A46C34">
              <w:rPr>
                <w:rFonts w:ascii="宋体" w:hAnsi="宋体" w:cs="宋体" w:hint="eastAsia"/>
                <w:bCs/>
                <w:sz w:val="24"/>
              </w:rPr>
              <w:t>MBE腔体为同等或优于无磁304不锈钢，为</w:t>
            </w:r>
            <w:r>
              <w:rPr>
                <w:rFonts w:ascii="宋体" w:hAnsi="宋体" w:cs="宋体" w:hint="eastAsia"/>
                <w:bCs/>
                <w:sz w:val="24"/>
              </w:rPr>
              <w:t>直径2</w:t>
            </w:r>
            <w:r>
              <w:rPr>
                <w:rFonts w:ascii="宋体" w:hAnsi="宋体" w:cs="宋体"/>
                <w:bCs/>
                <w:sz w:val="24"/>
              </w:rPr>
              <w:t>54mm</w:t>
            </w:r>
            <w:r w:rsidRPr="00A46C34">
              <w:rPr>
                <w:rFonts w:ascii="宋体" w:hAnsi="宋体" w:cs="宋体" w:hint="eastAsia"/>
                <w:bCs/>
                <w:sz w:val="24"/>
              </w:rPr>
              <w:t>柱状腔体，</w:t>
            </w:r>
            <w:r>
              <w:rPr>
                <w:rFonts w:ascii="宋体" w:hAnsi="宋体" w:cs="宋体" w:hint="eastAsia"/>
                <w:bCs/>
                <w:sz w:val="24"/>
              </w:rPr>
              <w:t>高度</w:t>
            </w:r>
            <m:oMath>
              <m:r>
                <w:rPr>
                  <w:rFonts w:ascii="Cambria Math" w:hAnsi="Cambria Math"/>
                  <w:sz w:val="24"/>
                </w:rPr>
                <m:t>≥</m:t>
              </m:r>
              <m:r>
                <m:rPr>
                  <m:sty m:val="p"/>
                </m:rPr>
                <w:rPr>
                  <w:rFonts w:ascii="Cambria Math" w:hAnsi="Cambria Math" w:cs="宋体"/>
                  <w:sz w:val="24"/>
                </w:rPr>
                <m:t>800</m:t>
              </m:r>
            </m:oMath>
            <w:r>
              <w:rPr>
                <w:rFonts w:ascii="宋体" w:hAnsi="宋体" w:cs="宋体" w:hint="eastAsia"/>
                <w:bCs/>
                <w:sz w:val="24"/>
              </w:rPr>
              <w:t>m</w:t>
            </w:r>
            <w:r>
              <w:rPr>
                <w:rFonts w:ascii="宋体" w:hAnsi="宋体" w:cs="宋体"/>
                <w:bCs/>
                <w:sz w:val="24"/>
              </w:rPr>
              <w:t>m</w:t>
            </w:r>
            <w:r>
              <w:rPr>
                <w:rFonts w:ascii="宋体" w:hAnsi="宋体" w:cs="宋体" w:hint="eastAsia"/>
                <w:bCs/>
                <w:sz w:val="24"/>
              </w:rPr>
              <w:t>，</w:t>
            </w:r>
            <w:r w:rsidRPr="00A46C34">
              <w:rPr>
                <w:rFonts w:ascii="宋体" w:hAnsi="宋体" w:cs="宋体" w:hint="eastAsia"/>
                <w:bCs/>
                <w:sz w:val="24"/>
              </w:rPr>
              <w:t>内部表面经过真空标准电解抛光处理</w:t>
            </w:r>
            <w:r>
              <w:rPr>
                <w:rFonts w:ascii="宋体" w:hAnsi="宋体" w:cs="宋体" w:hint="eastAsia"/>
                <w:bCs/>
                <w:sz w:val="24"/>
              </w:rPr>
              <w:t>，超高真空生长腔体经烘烤后，本底真空优于</w:t>
            </w:r>
            <w:r>
              <w:rPr>
                <w:rFonts w:ascii="宋体" w:hAnsi="宋体" w:cs="宋体"/>
                <w:bCs/>
                <w:sz w:val="24"/>
              </w:rPr>
              <w:t>3</w:t>
            </w:r>
            <w:r>
              <w:rPr>
                <w:rFonts w:ascii="宋体" w:hAnsi="宋体" w:cs="宋体" w:hint="eastAsia"/>
                <w:bCs/>
                <w:sz w:val="24"/>
              </w:rPr>
              <w:t>×1</w:t>
            </w:r>
            <w:r>
              <w:rPr>
                <w:rFonts w:ascii="宋体" w:hAnsi="宋体" w:cs="宋体"/>
                <w:bCs/>
                <w:sz w:val="24"/>
              </w:rPr>
              <w:t>0</w:t>
            </w:r>
            <w:r>
              <w:rPr>
                <w:rFonts w:ascii="宋体" w:hAnsi="宋体" w:cs="宋体"/>
                <w:bCs/>
                <w:sz w:val="24"/>
                <w:vertAlign w:val="superscript"/>
              </w:rPr>
              <w:t>-10</w:t>
            </w:r>
            <w:r>
              <w:rPr>
                <w:rFonts w:ascii="宋体" w:hAnsi="宋体" w:cs="宋体"/>
                <w:bCs/>
                <w:sz w:val="24"/>
              </w:rPr>
              <w:t xml:space="preserve"> mbar</w:t>
            </w:r>
            <w:r>
              <w:rPr>
                <w:rFonts w:ascii="宋体" w:hAnsi="宋体" w:cs="宋体" w:hint="eastAsia"/>
                <w:bCs/>
                <w:sz w:val="24"/>
              </w:rPr>
              <w:t>，设计样品架、</w:t>
            </w:r>
            <w:proofErr w:type="spellStart"/>
            <w:r>
              <w:rPr>
                <w:rFonts w:ascii="宋体" w:hAnsi="宋体" w:cs="宋体" w:hint="eastAsia"/>
                <w:bCs/>
                <w:sz w:val="24"/>
              </w:rPr>
              <w:t>Ar</w:t>
            </w:r>
            <w:proofErr w:type="spellEnd"/>
            <w:r>
              <w:rPr>
                <w:rFonts w:ascii="宋体" w:hAnsi="宋体" w:cs="宋体" w:hint="eastAsia"/>
                <w:bCs/>
                <w:sz w:val="24"/>
              </w:rPr>
              <w:t>离子刻蚀枪、RHEED、真空泵、真空计、多个蒸发源和观察窗等不同口径法兰的接口，可以对样品进行预处理以及样品原位制备等。腔体设计示意图如图所示，最终图纸需经过采购方确认后方可加工。</w:t>
            </w:r>
          </w:p>
          <w:p w14:paraId="68D6B4AF" w14:textId="77777777" w:rsidR="00DA098C" w:rsidRDefault="00DA098C" w:rsidP="00DA098C">
            <w:pPr>
              <w:pStyle w:val="a9"/>
              <w:tabs>
                <w:tab w:val="left" w:pos="6915"/>
              </w:tabs>
              <w:ind w:left="360" w:firstLineChars="0" w:firstLine="0"/>
              <w:jc w:val="center"/>
              <w:rPr>
                <w:rFonts w:ascii="宋体" w:hAnsi="宋体" w:cs="宋体" w:hint="eastAsia"/>
                <w:bCs/>
                <w:sz w:val="24"/>
              </w:rPr>
            </w:pPr>
            <w:r>
              <w:rPr>
                <w:noProof/>
              </w:rPr>
              <w:drawing>
                <wp:inline distT="0" distB="0" distL="0" distR="0" wp14:anchorId="663B9D4D" wp14:editId="180E8C22">
                  <wp:extent cx="2337918" cy="409575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39819" cy="4099081"/>
                          </a:xfrm>
                          <a:prstGeom prst="rect">
                            <a:avLst/>
                          </a:prstGeom>
                        </pic:spPr>
                      </pic:pic>
                    </a:graphicData>
                  </a:graphic>
                </wp:inline>
              </w:drawing>
            </w:r>
          </w:p>
          <w:p w14:paraId="0FDE831B" w14:textId="77777777" w:rsidR="00DA098C" w:rsidRPr="00A46C34"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包含一套超高真空</w:t>
            </w:r>
            <w:r>
              <w:rPr>
                <w:rFonts w:ascii="宋体" w:hAnsi="宋体" w:cs="宋体"/>
                <w:bCs/>
                <w:sz w:val="24"/>
              </w:rPr>
              <w:t>5</w:t>
            </w:r>
            <w:r>
              <w:rPr>
                <w:rFonts w:ascii="宋体" w:hAnsi="宋体" w:cs="宋体" w:hint="eastAsia"/>
                <w:bCs/>
                <w:sz w:val="24"/>
              </w:rPr>
              <w:t>轴高温样品架，竖直安装，工作温度不低于</w:t>
            </w:r>
            <w:r>
              <w:rPr>
                <w:rFonts w:ascii="宋体" w:hAnsi="宋体" w:cs="宋体"/>
                <w:bCs/>
                <w:sz w:val="24"/>
              </w:rPr>
              <w:t>500</w:t>
            </w:r>
            <m:oMath>
              <m:r>
                <w:rPr>
                  <w:rFonts w:ascii="Cambria Math" w:hAnsi="Cambria Math" w:cs="宋体"/>
                  <w:sz w:val="24"/>
                </w:rPr>
                <m:t>℃</m:t>
              </m:r>
            </m:oMath>
            <w:r>
              <w:rPr>
                <w:rFonts w:ascii="宋体" w:hAnsi="宋体" w:cs="宋体" w:hint="eastAsia"/>
                <w:bCs/>
                <w:sz w:val="24"/>
              </w:rPr>
              <w:t>，</w:t>
            </w:r>
            <w:r w:rsidRPr="00A46C34">
              <w:rPr>
                <w:rFonts w:ascii="宋体" w:hAnsi="宋体" w:cs="宋体" w:hint="eastAsia"/>
                <w:bCs/>
                <w:sz w:val="24"/>
              </w:rPr>
              <w:t>可以通过辐射</w:t>
            </w:r>
            <w:r w:rsidRPr="00A46C34">
              <w:rPr>
                <w:rFonts w:ascii="宋体" w:hAnsi="宋体" w:cs="宋体" w:hint="eastAsia"/>
                <w:bCs/>
                <w:sz w:val="24"/>
              </w:rPr>
              <w:lastRenderedPageBreak/>
              <w:t>方式加热，也可以通过直流方式加热；配有PID温控电源和测温热电偶</w:t>
            </w:r>
            <w:r>
              <w:rPr>
                <w:rFonts w:ascii="宋体" w:hAnsi="宋体" w:cs="宋体" w:hint="eastAsia"/>
                <w:bCs/>
                <w:sz w:val="24"/>
              </w:rPr>
              <w:t>,控温精度小于</w:t>
            </w:r>
            <m:oMath>
              <m:r>
                <w:rPr>
                  <w:rFonts w:ascii="Cambria Math" w:hAnsi="Cambria Math" w:cs="宋体"/>
                  <w:sz w:val="24"/>
                </w:rPr>
                <m:t>±1℃</m:t>
              </m:r>
            </m:oMath>
            <w:r w:rsidRPr="00A46C34">
              <w:rPr>
                <w:rFonts w:ascii="宋体" w:hAnsi="宋体" w:cs="宋体" w:hint="eastAsia"/>
                <w:bCs/>
                <w:sz w:val="24"/>
              </w:rPr>
              <w:t>；</w:t>
            </w:r>
            <w:r>
              <w:rPr>
                <w:rFonts w:ascii="宋体" w:hAnsi="宋体" w:cs="宋体" w:hint="eastAsia"/>
                <w:bCs/>
                <w:sz w:val="24"/>
              </w:rPr>
              <w:t xml:space="preserve"> X/Y移动行程±</w:t>
            </w:r>
            <w:r>
              <w:rPr>
                <w:rFonts w:ascii="宋体" w:hAnsi="宋体" w:cs="宋体"/>
                <w:bCs/>
                <w:sz w:val="24"/>
              </w:rPr>
              <w:t>12.5</w:t>
            </w:r>
            <w:r>
              <w:rPr>
                <w:rFonts w:ascii="宋体" w:hAnsi="宋体" w:cs="宋体" w:hint="eastAsia"/>
                <w:bCs/>
                <w:sz w:val="24"/>
              </w:rPr>
              <w:t>mm，Z轴行程大于</w:t>
            </w:r>
            <w:r>
              <w:rPr>
                <w:rFonts w:ascii="宋体" w:hAnsi="宋体" w:cs="宋体"/>
                <w:bCs/>
                <w:sz w:val="24"/>
              </w:rPr>
              <w:t>150</w:t>
            </w:r>
            <w:r>
              <w:rPr>
                <w:rFonts w:ascii="宋体" w:hAnsi="宋体" w:cs="宋体" w:hint="eastAsia"/>
                <w:bCs/>
                <w:sz w:val="24"/>
              </w:rPr>
              <w:t>mm</w:t>
            </w:r>
            <w:r>
              <w:rPr>
                <w:rFonts w:ascii="宋体" w:hAnsi="宋体" w:cs="宋体"/>
                <w:bCs/>
                <w:sz w:val="24"/>
              </w:rPr>
              <w:t xml:space="preserve">, </w:t>
            </w:r>
            <w:r>
              <w:rPr>
                <w:rFonts w:ascii="宋体" w:hAnsi="宋体" w:cs="宋体" w:hint="eastAsia"/>
                <w:bCs/>
                <w:sz w:val="24"/>
              </w:rPr>
              <w:t>旋转角度大于2</w:t>
            </w:r>
            <w:r>
              <w:rPr>
                <w:rFonts w:ascii="宋体" w:hAnsi="宋体" w:cs="宋体"/>
                <w:bCs/>
                <w:sz w:val="24"/>
              </w:rPr>
              <w:t>00</w:t>
            </w:r>
            <w:r>
              <w:rPr>
                <w:rFonts w:ascii="宋体" w:hAnsi="宋体" w:cs="宋体" w:hint="eastAsia"/>
                <w:bCs/>
                <w:sz w:val="24"/>
              </w:rPr>
              <w:t>度，俯仰角度≥9</w:t>
            </w:r>
            <w:r>
              <w:rPr>
                <w:rFonts w:ascii="宋体" w:hAnsi="宋体" w:cs="宋体"/>
                <w:bCs/>
                <w:sz w:val="24"/>
              </w:rPr>
              <w:t>0</w:t>
            </w:r>
            <w:r>
              <w:rPr>
                <w:rFonts w:ascii="宋体" w:hAnsi="宋体" w:cs="宋体" w:hint="eastAsia"/>
                <w:bCs/>
                <w:sz w:val="24"/>
              </w:rPr>
              <w:t>度。控制器支持RS</w:t>
            </w:r>
            <w:r>
              <w:rPr>
                <w:rFonts w:ascii="宋体" w:hAnsi="宋体" w:cs="宋体"/>
                <w:bCs/>
                <w:sz w:val="24"/>
              </w:rPr>
              <w:t>485/232</w:t>
            </w:r>
            <w:r>
              <w:rPr>
                <w:rFonts w:ascii="宋体" w:hAnsi="宋体" w:cs="宋体" w:hint="eastAsia"/>
                <w:bCs/>
                <w:sz w:val="24"/>
              </w:rPr>
              <w:t>通讯。</w:t>
            </w:r>
          </w:p>
          <w:p w14:paraId="66585B01"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至少满足三套最高温度大于</w:t>
            </w:r>
            <w:r>
              <w:rPr>
                <w:rFonts w:ascii="宋体" w:hAnsi="宋体" w:cs="宋体"/>
                <w:bCs/>
                <w:sz w:val="24"/>
              </w:rPr>
              <w:t>1200</w:t>
            </w:r>
            <w:r>
              <w:rPr>
                <w:rFonts w:ascii="宋体" w:hAnsi="宋体" w:cs="宋体" w:hint="eastAsia"/>
                <w:bCs/>
                <w:sz w:val="24"/>
              </w:rPr>
              <w:t>度的蒸发源，真空内长度不少于</w:t>
            </w:r>
            <w:r>
              <w:rPr>
                <w:rFonts w:ascii="宋体" w:hAnsi="宋体" w:cs="宋体"/>
                <w:bCs/>
                <w:sz w:val="24"/>
              </w:rPr>
              <w:t>180</w:t>
            </w:r>
            <w:r>
              <w:rPr>
                <w:rFonts w:ascii="宋体" w:hAnsi="宋体" w:cs="宋体" w:hint="eastAsia"/>
                <w:bCs/>
                <w:sz w:val="24"/>
              </w:rPr>
              <w:t>mm，包含水冷模块和控制器，支持</w:t>
            </w:r>
            <w:r w:rsidRPr="00A46C34">
              <w:rPr>
                <w:rFonts w:ascii="宋体" w:hAnsi="宋体" w:cs="宋体" w:hint="eastAsia"/>
                <w:bCs/>
                <w:sz w:val="24"/>
              </w:rPr>
              <w:t>PID温控</w:t>
            </w:r>
            <w:r>
              <w:rPr>
                <w:rFonts w:ascii="宋体" w:hAnsi="宋体" w:cs="宋体" w:hint="eastAsia"/>
                <w:bCs/>
                <w:sz w:val="24"/>
              </w:rPr>
              <w:t>，控制器支持RS</w:t>
            </w:r>
            <w:r>
              <w:rPr>
                <w:rFonts w:ascii="宋体" w:hAnsi="宋体" w:cs="宋体"/>
                <w:bCs/>
                <w:sz w:val="24"/>
              </w:rPr>
              <w:t>485/232</w:t>
            </w:r>
            <w:r>
              <w:rPr>
                <w:rFonts w:ascii="宋体" w:hAnsi="宋体" w:cs="宋体" w:hint="eastAsia"/>
                <w:bCs/>
                <w:sz w:val="24"/>
              </w:rPr>
              <w:t>通讯。</w:t>
            </w:r>
            <w:r w:rsidRPr="0077014C">
              <w:rPr>
                <w:rFonts w:ascii="宋体" w:hAnsi="宋体" w:cs="宋体" w:hint="eastAsia"/>
                <w:bCs/>
                <w:sz w:val="24"/>
              </w:rPr>
              <w:t>10cc氧化铝坩埚×</w:t>
            </w:r>
            <w:r>
              <w:rPr>
                <w:rFonts w:ascii="宋体" w:hAnsi="宋体" w:cs="宋体"/>
                <w:bCs/>
                <w:sz w:val="24"/>
              </w:rPr>
              <w:t>4</w:t>
            </w:r>
            <w:r w:rsidRPr="0077014C">
              <w:rPr>
                <w:rFonts w:ascii="宋体" w:hAnsi="宋体" w:cs="宋体" w:hint="eastAsia"/>
                <w:bCs/>
                <w:sz w:val="24"/>
              </w:rPr>
              <w:t>，10cc</w:t>
            </w:r>
            <w:r>
              <w:rPr>
                <w:rFonts w:ascii="宋体" w:hAnsi="宋体" w:cs="宋体" w:hint="eastAsia"/>
                <w:bCs/>
                <w:sz w:val="24"/>
              </w:rPr>
              <w:t>钼坩埚</w:t>
            </w:r>
            <w:r w:rsidRPr="0077014C">
              <w:rPr>
                <w:rFonts w:ascii="宋体" w:hAnsi="宋体" w:cs="宋体" w:hint="eastAsia"/>
                <w:bCs/>
                <w:sz w:val="24"/>
              </w:rPr>
              <w:t>×</w:t>
            </w:r>
            <w:r>
              <w:rPr>
                <w:rFonts w:ascii="宋体" w:hAnsi="宋体" w:cs="宋体"/>
                <w:bCs/>
                <w:sz w:val="24"/>
              </w:rPr>
              <w:t>4</w:t>
            </w:r>
            <w:r>
              <w:rPr>
                <w:rFonts w:ascii="宋体" w:hAnsi="宋体" w:cs="宋体" w:hint="eastAsia"/>
                <w:bCs/>
                <w:sz w:val="24"/>
              </w:rPr>
              <w:t>，</w:t>
            </w:r>
            <w:r w:rsidRPr="0077014C">
              <w:rPr>
                <w:rFonts w:ascii="宋体" w:hAnsi="宋体" w:cs="宋体" w:hint="eastAsia"/>
                <w:bCs/>
                <w:sz w:val="24"/>
              </w:rPr>
              <w:t>10cc</w:t>
            </w:r>
            <w:r>
              <w:rPr>
                <w:rFonts w:ascii="宋体" w:hAnsi="宋体" w:cs="宋体" w:hint="eastAsia"/>
                <w:bCs/>
                <w:sz w:val="24"/>
              </w:rPr>
              <w:t>PBN坩埚</w:t>
            </w:r>
            <w:r w:rsidRPr="0077014C">
              <w:rPr>
                <w:rFonts w:ascii="宋体" w:hAnsi="宋体" w:cs="宋体" w:hint="eastAsia"/>
                <w:bCs/>
                <w:sz w:val="24"/>
              </w:rPr>
              <w:t>×</w:t>
            </w:r>
            <w:r>
              <w:rPr>
                <w:rFonts w:ascii="宋体" w:hAnsi="宋体" w:cs="宋体"/>
                <w:bCs/>
                <w:sz w:val="24"/>
              </w:rPr>
              <w:t>4</w:t>
            </w:r>
            <w:r>
              <w:rPr>
                <w:rFonts w:ascii="宋体" w:hAnsi="宋体" w:cs="宋体" w:hint="eastAsia"/>
                <w:bCs/>
                <w:sz w:val="24"/>
              </w:rPr>
              <w:t>。</w:t>
            </w:r>
          </w:p>
          <w:p w14:paraId="66A8180B"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至少满足一套烘烤系统，整体式热风烘烤，至少由加热模块、耐高温防火帐篷、支撑架、温度控制模块组成，烘烤温度不低于</w:t>
            </w:r>
            <w:r>
              <w:rPr>
                <w:rFonts w:ascii="宋体" w:hAnsi="宋体" w:cs="宋体"/>
                <w:bCs/>
                <w:sz w:val="24"/>
              </w:rPr>
              <w:t>135</w:t>
            </w:r>
            <w:r>
              <w:rPr>
                <w:rFonts w:ascii="宋体" w:hAnsi="宋体" w:cs="宋体" w:hint="eastAsia"/>
                <w:bCs/>
                <w:sz w:val="24"/>
              </w:rPr>
              <w:t>℃，PID控制；</w:t>
            </w:r>
          </w:p>
          <w:p w14:paraId="59AF404D"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泵规阀由采购人提供，相应的真空连接管道由中标人提供；包含MBE系统与ARPES真空转移（RDC）系统之间的连接波纹管。</w:t>
            </w:r>
          </w:p>
          <w:p w14:paraId="3342AFCD"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包含晶振导入线性驱动器和一套蒸发源导入线性驱动器，至少设计一套可在线更换蒸发源装置，不用破坏主腔真空，便可完成蒸发源更换。</w:t>
            </w:r>
          </w:p>
          <w:p w14:paraId="205F1F8B"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包含一套氩离子枪专用气路和一套蒸发源水路,至少保证5路蒸发源水冷散热。</w:t>
            </w:r>
          </w:p>
          <w:p w14:paraId="7C49E9B0"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包含MBE蒸发源和晶振水冷机各一套，控温精度≤±0</w:t>
            </w:r>
            <w:r>
              <w:rPr>
                <w:rFonts w:ascii="宋体" w:hAnsi="宋体" w:cs="宋体"/>
                <w:bCs/>
                <w:sz w:val="24"/>
              </w:rPr>
              <w:t>.1</w:t>
            </w:r>
            <m:oMath>
              <m:r>
                <w:rPr>
                  <w:rFonts w:ascii="Cambria Math" w:hAnsi="Cambria Math" w:cs="宋体"/>
                  <w:sz w:val="24"/>
                </w:rPr>
                <m:t>℃</m:t>
              </m:r>
            </m:oMath>
            <w:r>
              <w:rPr>
                <w:rFonts w:ascii="宋体" w:hAnsi="宋体" w:cs="宋体" w:hint="eastAsia"/>
                <w:bCs/>
                <w:sz w:val="24"/>
              </w:rPr>
              <w:t>；包含控制电脑，电脑内存大于3</w:t>
            </w:r>
            <w:r>
              <w:rPr>
                <w:rFonts w:ascii="宋体" w:hAnsi="宋体" w:cs="宋体"/>
                <w:bCs/>
                <w:sz w:val="24"/>
              </w:rPr>
              <w:t>2</w:t>
            </w:r>
            <w:r>
              <w:rPr>
                <w:rFonts w:ascii="宋体" w:hAnsi="宋体" w:cs="宋体" w:hint="eastAsia"/>
                <w:bCs/>
                <w:sz w:val="24"/>
              </w:rPr>
              <w:t>G，CPU大于</w:t>
            </w:r>
            <w:r>
              <w:rPr>
                <w:rFonts w:ascii="宋体" w:hAnsi="宋体" w:cs="宋体"/>
                <w:bCs/>
                <w:sz w:val="24"/>
              </w:rPr>
              <w:t>18</w:t>
            </w:r>
            <w:r>
              <w:rPr>
                <w:rFonts w:ascii="宋体" w:hAnsi="宋体" w:cs="宋体" w:hint="eastAsia"/>
                <w:bCs/>
                <w:sz w:val="24"/>
              </w:rPr>
              <w:t>核，硬盘不少于1T</w:t>
            </w:r>
            <w:r>
              <w:rPr>
                <w:rFonts w:ascii="宋体" w:hAnsi="宋体" w:cs="宋体"/>
                <w:bCs/>
                <w:sz w:val="24"/>
              </w:rPr>
              <w:t xml:space="preserve"> SSD+2T</w:t>
            </w:r>
            <w:r>
              <w:rPr>
                <w:rFonts w:ascii="宋体" w:hAnsi="宋体" w:cs="宋体" w:hint="eastAsia"/>
                <w:bCs/>
                <w:sz w:val="24"/>
              </w:rPr>
              <w:t>机械，显存大于4G，显示器大于2</w:t>
            </w:r>
            <w:r>
              <w:rPr>
                <w:rFonts w:ascii="宋体" w:hAnsi="宋体" w:cs="宋体"/>
                <w:bCs/>
                <w:sz w:val="24"/>
              </w:rPr>
              <w:t>2</w:t>
            </w:r>
            <w:r>
              <w:rPr>
                <w:rFonts w:ascii="宋体" w:hAnsi="宋体" w:cs="宋体" w:hint="eastAsia"/>
                <w:bCs/>
                <w:sz w:val="24"/>
              </w:rPr>
              <w:t>寸。</w:t>
            </w:r>
          </w:p>
          <w:p w14:paraId="3A970F1B"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包含系统监控一套，可以监测MBE系统和ARPES系统的运行。</w:t>
            </w:r>
          </w:p>
          <w:p w14:paraId="502B568D"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包含手持式红外测温仪一套。</w:t>
            </w:r>
          </w:p>
          <w:p w14:paraId="29A42D99" w14:textId="77777777" w:rsidR="00DA098C"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包含MBE样品架低温制冷用1</w:t>
            </w:r>
            <w:r>
              <w:rPr>
                <w:rFonts w:ascii="宋体" w:hAnsi="宋体" w:cs="宋体"/>
                <w:bCs/>
                <w:sz w:val="24"/>
              </w:rPr>
              <w:t>00</w:t>
            </w:r>
            <w:r>
              <w:rPr>
                <w:rFonts w:ascii="宋体" w:hAnsi="宋体" w:cs="宋体" w:hint="eastAsia"/>
                <w:bCs/>
                <w:sz w:val="24"/>
              </w:rPr>
              <w:t>L液氦杜瓦和1</w:t>
            </w:r>
            <w:r>
              <w:rPr>
                <w:rFonts w:ascii="宋体" w:hAnsi="宋体" w:cs="宋体"/>
                <w:bCs/>
                <w:sz w:val="24"/>
              </w:rPr>
              <w:t>00L</w:t>
            </w:r>
            <w:r>
              <w:rPr>
                <w:rFonts w:ascii="宋体" w:hAnsi="宋体" w:cs="宋体" w:hint="eastAsia"/>
                <w:bCs/>
                <w:sz w:val="24"/>
              </w:rPr>
              <w:t>液氮杜瓦各一套。</w:t>
            </w:r>
          </w:p>
          <w:p w14:paraId="1A762046" w14:textId="77777777" w:rsidR="00DA098C" w:rsidRPr="00327546" w:rsidRDefault="00DA098C" w:rsidP="00DA098C">
            <w:pPr>
              <w:pStyle w:val="a9"/>
              <w:numPr>
                <w:ilvl w:val="0"/>
                <w:numId w:val="4"/>
              </w:numPr>
              <w:tabs>
                <w:tab w:val="clear" w:pos="1428"/>
                <w:tab w:val="left" w:pos="6915"/>
              </w:tabs>
              <w:ind w:firstLineChars="0"/>
              <w:rPr>
                <w:rFonts w:ascii="宋体" w:hAnsi="宋体" w:cs="宋体" w:hint="eastAsia"/>
                <w:bCs/>
                <w:sz w:val="24"/>
              </w:rPr>
            </w:pPr>
            <w:r>
              <w:rPr>
                <w:rFonts w:ascii="宋体" w:hAnsi="宋体" w:cs="宋体" w:hint="eastAsia"/>
                <w:bCs/>
                <w:sz w:val="24"/>
              </w:rPr>
              <w:t>包含MBE制样相关工具，包括但不限于旗形压片式钼样品托</w:t>
            </w:r>
            <w:r w:rsidRPr="0077014C">
              <w:rPr>
                <w:rFonts w:ascii="宋体" w:hAnsi="宋体" w:cs="宋体" w:hint="eastAsia"/>
                <w:bCs/>
                <w:sz w:val="24"/>
              </w:rPr>
              <w:t>×</w:t>
            </w:r>
            <w:r>
              <w:rPr>
                <w:rFonts w:ascii="宋体" w:hAnsi="宋体" w:cs="宋体" w:hint="eastAsia"/>
                <w:bCs/>
                <w:sz w:val="24"/>
              </w:rPr>
              <w:t>2</w:t>
            </w:r>
            <w:r>
              <w:rPr>
                <w:rFonts w:ascii="宋体" w:hAnsi="宋体" w:cs="宋体"/>
                <w:bCs/>
                <w:sz w:val="24"/>
              </w:rPr>
              <w:t>0</w:t>
            </w:r>
            <w:r>
              <w:rPr>
                <w:rFonts w:ascii="宋体" w:hAnsi="宋体" w:cs="宋体" w:hint="eastAsia"/>
                <w:bCs/>
                <w:sz w:val="24"/>
              </w:rPr>
              <w:t>、H</w:t>
            </w:r>
            <w:r>
              <w:rPr>
                <w:rFonts w:ascii="宋体" w:hAnsi="宋体" w:cs="宋体"/>
                <w:bCs/>
                <w:sz w:val="24"/>
              </w:rPr>
              <w:t>20E</w:t>
            </w:r>
            <w:r>
              <w:rPr>
                <w:rFonts w:ascii="宋体" w:hAnsi="宋体" w:cs="宋体" w:hint="eastAsia"/>
                <w:bCs/>
                <w:sz w:val="24"/>
              </w:rPr>
              <w:t>银胶</w:t>
            </w:r>
            <w:r w:rsidRPr="0077014C">
              <w:rPr>
                <w:rFonts w:ascii="宋体" w:hAnsi="宋体" w:cs="宋体" w:hint="eastAsia"/>
                <w:bCs/>
                <w:sz w:val="24"/>
              </w:rPr>
              <w:t>×</w:t>
            </w:r>
            <w:r>
              <w:rPr>
                <w:rFonts w:ascii="宋体" w:hAnsi="宋体" w:cs="宋体" w:hint="eastAsia"/>
                <w:bCs/>
                <w:sz w:val="24"/>
              </w:rPr>
              <w:t>2、Torr</w:t>
            </w:r>
            <w:r>
              <w:rPr>
                <w:rFonts w:ascii="宋体" w:hAnsi="宋体" w:cs="宋体"/>
                <w:bCs/>
                <w:sz w:val="24"/>
              </w:rPr>
              <w:t xml:space="preserve"> Seal</w:t>
            </w:r>
            <w:r w:rsidRPr="0077014C">
              <w:rPr>
                <w:rFonts w:ascii="宋体" w:hAnsi="宋体" w:cs="宋体" w:hint="eastAsia"/>
                <w:bCs/>
                <w:sz w:val="24"/>
              </w:rPr>
              <w:t>×</w:t>
            </w:r>
            <w:r>
              <w:rPr>
                <w:rFonts w:ascii="宋体" w:hAnsi="宋体" w:cs="宋体" w:hint="eastAsia"/>
                <w:bCs/>
                <w:sz w:val="24"/>
              </w:rPr>
              <w:t>1，加热台</w:t>
            </w:r>
            <w:r w:rsidRPr="0077014C">
              <w:rPr>
                <w:rFonts w:ascii="宋体" w:hAnsi="宋体" w:cs="宋体" w:hint="eastAsia"/>
                <w:bCs/>
                <w:sz w:val="24"/>
              </w:rPr>
              <w:t>×</w:t>
            </w:r>
            <w:r>
              <w:rPr>
                <w:rFonts w:ascii="宋体" w:hAnsi="宋体" w:cs="宋体"/>
                <w:bCs/>
                <w:sz w:val="24"/>
              </w:rPr>
              <w:t>1</w:t>
            </w:r>
            <w:r>
              <w:rPr>
                <w:rFonts w:ascii="宋体" w:hAnsi="宋体" w:cs="宋体" w:hint="eastAsia"/>
                <w:bCs/>
                <w:sz w:val="24"/>
              </w:rPr>
              <w:t>，超声波清洗机</w:t>
            </w:r>
            <w:r w:rsidRPr="0077014C">
              <w:rPr>
                <w:rFonts w:ascii="宋体" w:hAnsi="宋体" w:cs="宋体" w:hint="eastAsia"/>
                <w:bCs/>
                <w:sz w:val="24"/>
              </w:rPr>
              <w:t>×</w:t>
            </w:r>
            <w:r>
              <w:rPr>
                <w:rFonts w:ascii="宋体" w:hAnsi="宋体" w:cs="宋体"/>
                <w:bCs/>
                <w:sz w:val="24"/>
              </w:rPr>
              <w:t>1</w:t>
            </w:r>
            <w:r>
              <w:rPr>
                <w:rFonts w:ascii="宋体" w:hAnsi="宋体" w:cs="宋体" w:hint="eastAsia"/>
                <w:bCs/>
                <w:sz w:val="24"/>
              </w:rPr>
              <w:t>等耗材。包含MBE系统安装和维护工具，包括但不限于防潮柜</w:t>
            </w:r>
            <w:r w:rsidRPr="0077014C">
              <w:rPr>
                <w:rFonts w:ascii="宋体" w:hAnsi="宋体" w:cs="宋体" w:hint="eastAsia"/>
                <w:bCs/>
                <w:sz w:val="24"/>
              </w:rPr>
              <w:t>×</w:t>
            </w:r>
            <w:r>
              <w:rPr>
                <w:rFonts w:ascii="宋体" w:hAnsi="宋体" w:cs="宋体" w:hint="eastAsia"/>
                <w:bCs/>
                <w:sz w:val="24"/>
              </w:rPr>
              <w:t>2、工具柜</w:t>
            </w:r>
            <w:r w:rsidRPr="0077014C">
              <w:rPr>
                <w:rFonts w:ascii="宋体" w:hAnsi="宋体" w:cs="宋体" w:hint="eastAsia"/>
                <w:bCs/>
                <w:sz w:val="24"/>
              </w:rPr>
              <w:t>×</w:t>
            </w:r>
            <w:r>
              <w:rPr>
                <w:rFonts w:ascii="宋体" w:hAnsi="宋体" w:cs="宋体" w:hint="eastAsia"/>
                <w:bCs/>
                <w:sz w:val="24"/>
              </w:rPr>
              <w:t>4、各类型扳手不少于</w:t>
            </w:r>
            <w:r>
              <w:rPr>
                <w:rFonts w:ascii="宋体" w:hAnsi="宋体" w:cs="宋体"/>
                <w:bCs/>
                <w:sz w:val="24"/>
              </w:rPr>
              <w:t>40</w:t>
            </w:r>
            <w:r>
              <w:rPr>
                <w:rFonts w:ascii="宋体" w:hAnsi="宋体" w:cs="宋体" w:hint="eastAsia"/>
                <w:bCs/>
                <w:sz w:val="24"/>
              </w:rPr>
              <w:t>件，螺丝刀不少2</w:t>
            </w:r>
            <w:r>
              <w:rPr>
                <w:rFonts w:ascii="宋体" w:hAnsi="宋体" w:cs="宋体"/>
                <w:bCs/>
                <w:sz w:val="24"/>
              </w:rPr>
              <w:t>0</w:t>
            </w:r>
            <w:r>
              <w:rPr>
                <w:rFonts w:ascii="宋体" w:hAnsi="宋体" w:cs="宋体" w:hint="eastAsia"/>
                <w:bCs/>
                <w:sz w:val="24"/>
              </w:rPr>
              <w:t>件，电动工具不少于3套。</w:t>
            </w:r>
          </w:p>
          <w:p w14:paraId="40C0E12A" w14:textId="77777777" w:rsidR="00DA098C" w:rsidRPr="00F479DF" w:rsidRDefault="00DA098C" w:rsidP="00DA098C">
            <w:pPr>
              <w:pStyle w:val="a9"/>
              <w:numPr>
                <w:ilvl w:val="0"/>
                <w:numId w:val="4"/>
              </w:numPr>
              <w:tabs>
                <w:tab w:val="clear" w:pos="1428"/>
                <w:tab w:val="left" w:pos="6915"/>
              </w:tabs>
              <w:ind w:firstLineChars="0"/>
              <w:rPr>
                <w:rFonts w:ascii="宋体" w:hAnsi="宋体" w:hint="eastAsia"/>
                <w:bCs/>
                <w:sz w:val="24"/>
              </w:rPr>
            </w:pPr>
            <w:r>
              <w:rPr>
                <w:rFonts w:ascii="宋体" w:hAnsi="宋体" w:hint="eastAsia"/>
                <w:bCs/>
                <w:sz w:val="24"/>
              </w:rPr>
              <w:t>MBE系统集成、安装</w:t>
            </w:r>
            <w:r>
              <w:rPr>
                <w:rFonts w:ascii="宋体" w:hAnsi="宋体" w:cs="宋体" w:hint="eastAsia"/>
                <w:bCs/>
                <w:sz w:val="24"/>
              </w:rPr>
              <w:t>。</w:t>
            </w:r>
          </w:p>
          <w:p w14:paraId="3507DFFC" w14:textId="013E4794" w:rsidR="009662CD" w:rsidRPr="00DA098C" w:rsidRDefault="00DA098C" w:rsidP="00DA098C">
            <w:pPr>
              <w:pStyle w:val="a9"/>
              <w:numPr>
                <w:ilvl w:val="0"/>
                <w:numId w:val="4"/>
              </w:numPr>
              <w:tabs>
                <w:tab w:val="clear" w:pos="1428"/>
                <w:tab w:val="left" w:pos="6915"/>
              </w:tabs>
              <w:ind w:firstLineChars="0"/>
              <w:rPr>
                <w:rFonts w:ascii="宋体" w:hAnsi="宋体" w:cstheme="minorBidi"/>
                <w:bCs/>
                <w:sz w:val="24"/>
              </w:rPr>
            </w:pPr>
            <w:r w:rsidRPr="00327546">
              <w:rPr>
                <w:rFonts w:ascii="宋体" w:hAnsi="宋体"/>
                <w:bCs/>
                <w:sz w:val="24"/>
              </w:rPr>
              <w:t>供应商负责收集整理合同形成和实施过程中产生的各种载体和形式的文件材料，并严格按照采购人要求提供归档材料</w:t>
            </w:r>
            <w:r>
              <w:rPr>
                <w:rFonts w:ascii="宋体" w:hAnsi="宋体" w:hint="eastAsia"/>
                <w:bCs/>
                <w:sz w:val="24"/>
              </w:rPr>
              <w:t>。</w:t>
            </w:r>
          </w:p>
        </w:tc>
        <w:tc>
          <w:tcPr>
            <w:tcW w:w="1418" w:type="dxa"/>
            <w:vAlign w:val="center"/>
          </w:tcPr>
          <w:p w14:paraId="205FF5AB" w14:textId="77777777" w:rsidR="009662CD" w:rsidRDefault="009662CD" w:rsidP="009662CD">
            <w:pPr>
              <w:spacing w:line="240" w:lineRule="atLeast"/>
              <w:jc w:val="center"/>
            </w:pPr>
          </w:p>
        </w:tc>
        <w:tc>
          <w:tcPr>
            <w:tcW w:w="992" w:type="dxa"/>
            <w:vAlign w:val="center"/>
          </w:tcPr>
          <w:p w14:paraId="1C60665B" w14:textId="77777777" w:rsidR="009662CD" w:rsidRDefault="009662CD" w:rsidP="009662CD">
            <w:pPr>
              <w:spacing w:line="240" w:lineRule="atLeast"/>
              <w:jc w:val="center"/>
            </w:pPr>
          </w:p>
        </w:tc>
      </w:tr>
      <w:tr w:rsidR="009662CD" w14:paraId="497EA63B" w14:textId="77777777" w:rsidTr="004251B4">
        <w:trPr>
          <w:trHeight w:val="1550"/>
        </w:trPr>
        <w:tc>
          <w:tcPr>
            <w:tcW w:w="705" w:type="dxa"/>
            <w:vAlign w:val="center"/>
          </w:tcPr>
          <w:p w14:paraId="21D5CC9B" w14:textId="77777777" w:rsidR="009662CD" w:rsidRDefault="009662CD" w:rsidP="009662CD">
            <w:pPr>
              <w:spacing w:line="240" w:lineRule="atLeast"/>
              <w:jc w:val="center"/>
            </w:pPr>
            <w:r>
              <w:lastRenderedPageBreak/>
              <w:t>2</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14:paraId="2217188C" w14:textId="77777777" w:rsidR="009662CD" w:rsidRDefault="009662CD" w:rsidP="009662CD">
            <w:pPr>
              <w:widowControl/>
              <w:spacing w:line="240" w:lineRule="atLeast"/>
              <w:jc w:val="center"/>
            </w:pPr>
            <w:r>
              <w:rPr>
                <w:rFonts w:hint="eastAsia"/>
              </w:rPr>
              <w:t>商务条款</w:t>
            </w:r>
          </w:p>
        </w:tc>
        <w:tc>
          <w:tcPr>
            <w:tcW w:w="5244" w:type="dxa"/>
            <w:tcBorders>
              <w:top w:val="single" w:sz="4" w:space="0" w:color="auto"/>
              <w:left w:val="nil"/>
              <w:bottom w:val="single" w:sz="4" w:space="0" w:color="auto"/>
              <w:right w:val="single" w:sz="4" w:space="0" w:color="auto"/>
            </w:tcBorders>
            <w:shd w:val="clear" w:color="auto" w:fill="auto"/>
            <w:vAlign w:val="center"/>
          </w:tcPr>
          <w:p w14:paraId="1018BA9B" w14:textId="77777777" w:rsidR="00DA098C" w:rsidRPr="00BC5C4F" w:rsidRDefault="00DA098C" w:rsidP="00DA098C">
            <w:pPr>
              <w:tabs>
                <w:tab w:val="left" w:pos="6915"/>
              </w:tabs>
              <w:jc w:val="left"/>
              <w:rPr>
                <w:rFonts w:ascii="宋体" w:hAnsi="宋体" w:hint="eastAsia"/>
                <w:b/>
                <w:szCs w:val="21"/>
              </w:rPr>
            </w:pPr>
            <w:r>
              <w:rPr>
                <w:rFonts w:ascii="宋体" w:hAnsi="宋体"/>
                <w:b/>
                <w:szCs w:val="21"/>
              </w:rPr>
              <w:t>交货期</w:t>
            </w:r>
            <w:r>
              <w:rPr>
                <w:rFonts w:ascii="宋体" w:hAnsi="宋体" w:hint="eastAsia"/>
                <w:b/>
                <w:szCs w:val="21"/>
              </w:rPr>
              <w:t>：</w:t>
            </w:r>
            <w:r>
              <w:rPr>
                <w:rFonts w:ascii="宋体" w:hAnsi="宋体" w:cs="宋体" w:hint="eastAsia"/>
                <w:bCs/>
                <w:sz w:val="24"/>
              </w:rPr>
              <w:t>乙方于合同生效之日起</w:t>
            </w:r>
            <w:r>
              <w:rPr>
                <w:rFonts w:ascii="宋体" w:hAnsi="宋体" w:cs="宋体"/>
                <w:bCs/>
                <w:sz w:val="24"/>
              </w:rPr>
              <w:t>10</w:t>
            </w:r>
            <w:r>
              <w:rPr>
                <w:rFonts w:ascii="宋体" w:hAnsi="宋体" w:cs="宋体" w:hint="eastAsia"/>
                <w:bCs/>
                <w:sz w:val="24"/>
              </w:rPr>
              <w:t>个月内将货物送达至甲方指定地点</w:t>
            </w:r>
          </w:p>
          <w:p w14:paraId="1FBB7958" w14:textId="77777777" w:rsidR="00DA098C" w:rsidRPr="00BC5C4F" w:rsidRDefault="00DA098C" w:rsidP="00DA098C">
            <w:pPr>
              <w:tabs>
                <w:tab w:val="left" w:pos="6915"/>
              </w:tabs>
              <w:jc w:val="left"/>
              <w:rPr>
                <w:rFonts w:ascii="宋体" w:hAnsi="宋体" w:hint="eastAsia"/>
                <w:b/>
                <w:szCs w:val="21"/>
              </w:rPr>
            </w:pPr>
            <w:r>
              <w:rPr>
                <w:rFonts w:ascii="宋体" w:hAnsi="宋体"/>
                <w:b/>
                <w:szCs w:val="21"/>
              </w:rPr>
              <w:t>付款方式</w:t>
            </w:r>
            <w:r>
              <w:rPr>
                <w:rFonts w:ascii="宋体" w:hAnsi="宋体" w:hint="eastAsia"/>
                <w:b/>
                <w:szCs w:val="21"/>
              </w:rPr>
              <w:t>：</w:t>
            </w:r>
            <w:r>
              <w:rPr>
                <w:rFonts w:ascii="宋体" w:hAnsi="宋体" w:cs="宋体" w:hint="eastAsia"/>
                <w:bCs/>
                <w:sz w:val="24"/>
              </w:rPr>
              <w:t>合同签订且加工图纸确认后，买方支付合同总价的</w:t>
            </w:r>
            <w:r>
              <w:rPr>
                <w:rFonts w:ascii="宋体" w:hAnsi="宋体" w:cs="宋体"/>
                <w:bCs/>
                <w:sz w:val="24"/>
              </w:rPr>
              <w:t>5</w:t>
            </w:r>
            <w:r>
              <w:rPr>
                <w:rFonts w:ascii="宋体" w:hAnsi="宋体" w:cs="宋体" w:hint="eastAsia"/>
                <w:bCs/>
                <w:sz w:val="24"/>
              </w:rPr>
              <w:t>0% ；（2）货到指定地点并且验收合格后，买方支付合同总价的</w:t>
            </w:r>
            <w:r>
              <w:rPr>
                <w:rFonts w:ascii="宋体" w:hAnsi="宋体" w:cs="宋体"/>
                <w:bCs/>
                <w:sz w:val="24"/>
              </w:rPr>
              <w:t>5</w:t>
            </w:r>
            <w:r>
              <w:rPr>
                <w:rFonts w:ascii="宋体" w:hAnsi="宋体" w:cs="宋体" w:hint="eastAsia"/>
                <w:bCs/>
                <w:sz w:val="24"/>
              </w:rPr>
              <w:t>0%。</w:t>
            </w:r>
          </w:p>
          <w:p w14:paraId="762ADECF" w14:textId="77777777" w:rsidR="00DA098C" w:rsidRPr="00BC5C4F" w:rsidRDefault="00DA098C" w:rsidP="00DA098C">
            <w:pPr>
              <w:tabs>
                <w:tab w:val="left" w:pos="6915"/>
              </w:tabs>
              <w:jc w:val="left"/>
              <w:rPr>
                <w:rFonts w:ascii="宋体" w:hAnsi="宋体" w:hint="eastAsia"/>
                <w:b/>
                <w:szCs w:val="21"/>
              </w:rPr>
            </w:pPr>
            <w:r>
              <w:rPr>
                <w:rFonts w:ascii="宋体" w:hAnsi="宋体" w:hint="eastAsia"/>
                <w:b/>
                <w:szCs w:val="21"/>
              </w:rPr>
              <w:t xml:space="preserve">验收指标及验收要求： </w:t>
            </w:r>
            <w:r>
              <w:rPr>
                <w:rFonts w:ascii="宋体" w:hAnsi="宋体" w:cs="宋体" w:hint="eastAsia"/>
                <w:bCs/>
                <w:sz w:val="24"/>
              </w:rPr>
              <w:t>系统正常工作且与ARPES系统对接无冲突。真空度达到</w:t>
            </w:r>
            <w:r w:rsidRPr="000E43A7">
              <w:rPr>
                <w:rFonts w:ascii="宋体" w:hAnsi="宋体" w:cs="宋体"/>
                <w:bCs/>
                <w:sz w:val="24"/>
              </w:rPr>
              <w:t>3×10</w:t>
            </w:r>
            <w:r w:rsidRPr="000E43A7">
              <w:rPr>
                <w:rFonts w:ascii="宋体" w:hAnsi="宋体" w:cs="宋体"/>
                <w:bCs/>
                <w:sz w:val="24"/>
                <w:vertAlign w:val="superscript"/>
              </w:rPr>
              <w:t>-10</w:t>
            </w:r>
            <w:r w:rsidRPr="000E43A7">
              <w:rPr>
                <w:rFonts w:ascii="宋体" w:hAnsi="宋体" w:cs="宋体"/>
                <w:bCs/>
                <w:sz w:val="24"/>
              </w:rPr>
              <w:t xml:space="preserve"> mbar</w:t>
            </w:r>
            <w:r>
              <w:rPr>
                <w:rFonts w:ascii="宋体" w:hAnsi="宋体" w:cs="宋体" w:hint="eastAsia"/>
                <w:bCs/>
                <w:sz w:val="24"/>
              </w:rPr>
              <w:t>，蒸发源加热到1</w:t>
            </w:r>
            <w:r>
              <w:rPr>
                <w:rFonts w:ascii="宋体" w:hAnsi="宋体" w:cs="宋体"/>
                <w:bCs/>
                <w:sz w:val="24"/>
              </w:rPr>
              <w:t>200</w:t>
            </w:r>
            <w:r>
              <w:rPr>
                <w:rFonts w:ascii="宋体" w:hAnsi="宋体" w:cs="宋体" w:hint="eastAsia"/>
                <w:bCs/>
                <w:sz w:val="24"/>
              </w:rPr>
              <w:t>度以上，样品架5轴运动且达到行程要求。所有配件均齐备且功能正常。</w:t>
            </w:r>
          </w:p>
          <w:p w14:paraId="1702B772" w14:textId="65B2B417" w:rsidR="009662CD" w:rsidRPr="00A7235D" w:rsidRDefault="00DA098C" w:rsidP="00DA098C">
            <w:pPr>
              <w:tabs>
                <w:tab w:val="left" w:pos="6915"/>
              </w:tabs>
              <w:jc w:val="left"/>
              <w:rPr>
                <w:rFonts w:ascii="宋体" w:hAnsi="宋体" w:cs="宋体" w:hint="eastAsia"/>
                <w:bCs/>
                <w:sz w:val="24"/>
              </w:rPr>
            </w:pPr>
            <w:r>
              <w:rPr>
                <w:rFonts w:ascii="宋体" w:hAnsi="宋体" w:hint="eastAsia"/>
                <w:b/>
                <w:szCs w:val="21"/>
              </w:rPr>
              <w:t>保修</w:t>
            </w:r>
            <w:r>
              <w:rPr>
                <w:rFonts w:ascii="宋体" w:hAnsi="宋体"/>
                <w:b/>
                <w:szCs w:val="21"/>
              </w:rPr>
              <w:t>及售后服务</w:t>
            </w:r>
            <w:r>
              <w:rPr>
                <w:rFonts w:ascii="宋体" w:hAnsi="宋体" w:hint="eastAsia"/>
                <w:b/>
                <w:szCs w:val="21"/>
              </w:rPr>
              <w:t>：</w:t>
            </w:r>
            <w:r>
              <w:rPr>
                <w:rFonts w:ascii="宋体" w:hAnsi="宋体" w:cs="宋体" w:hint="eastAsia"/>
                <w:bCs/>
                <w:sz w:val="24"/>
              </w:rPr>
              <w:t>乙方对其所提供设备的免费保修期为12个月。质保期内，非人为故障所需更换的零配件，不另收取任何费用。</w:t>
            </w:r>
          </w:p>
        </w:tc>
        <w:tc>
          <w:tcPr>
            <w:tcW w:w="1418" w:type="dxa"/>
            <w:vAlign w:val="center"/>
          </w:tcPr>
          <w:p w14:paraId="324B1D27" w14:textId="77777777" w:rsidR="009662CD" w:rsidRDefault="009662CD" w:rsidP="009662CD">
            <w:pPr>
              <w:spacing w:line="240" w:lineRule="atLeast"/>
              <w:jc w:val="center"/>
            </w:pPr>
          </w:p>
        </w:tc>
        <w:tc>
          <w:tcPr>
            <w:tcW w:w="992" w:type="dxa"/>
            <w:vAlign w:val="center"/>
          </w:tcPr>
          <w:p w14:paraId="06AA2CA0" w14:textId="77777777" w:rsidR="009662CD" w:rsidRDefault="009662CD" w:rsidP="009662CD">
            <w:pPr>
              <w:spacing w:line="240" w:lineRule="atLeast"/>
              <w:jc w:val="center"/>
            </w:pPr>
          </w:p>
        </w:tc>
      </w:tr>
    </w:tbl>
    <w:p w14:paraId="6DFFEB29" w14:textId="77777777" w:rsidR="00E625CB" w:rsidRDefault="00E625CB">
      <w:pPr>
        <w:ind w:right="840"/>
        <w:rPr>
          <w:sz w:val="24"/>
        </w:rPr>
      </w:pPr>
    </w:p>
    <w:p w14:paraId="0DED7F3B" w14:textId="77777777" w:rsidR="00E625CB" w:rsidRDefault="00E625CB">
      <w:pPr>
        <w:ind w:right="840" w:firstLineChars="2100" w:firstLine="5040"/>
        <w:rPr>
          <w:sz w:val="24"/>
        </w:rPr>
      </w:pPr>
    </w:p>
    <w:p w14:paraId="6B36AD4F" w14:textId="77777777" w:rsidR="00E625CB" w:rsidRDefault="00000000">
      <w:pPr>
        <w:ind w:right="840" w:firstLineChars="2100" w:firstLine="5040"/>
        <w:rPr>
          <w:sz w:val="24"/>
        </w:rPr>
      </w:pPr>
      <w:r>
        <w:rPr>
          <w:sz w:val="24"/>
        </w:rPr>
        <w:t>公司名称</w:t>
      </w:r>
      <w:r>
        <w:rPr>
          <w:rFonts w:hint="eastAsia"/>
          <w:sz w:val="24"/>
        </w:rPr>
        <w:t>（盖章）：</w:t>
      </w:r>
    </w:p>
    <w:p w14:paraId="2BA3965A" w14:textId="77777777" w:rsidR="00E625CB" w:rsidRDefault="00000000">
      <w:pPr>
        <w:ind w:right="840"/>
        <w:jc w:val="center"/>
        <w:rPr>
          <w:sz w:val="24"/>
        </w:rPr>
      </w:pPr>
      <w:r>
        <w:rPr>
          <w:rFonts w:hint="eastAsia"/>
          <w:sz w:val="24"/>
        </w:rPr>
        <w:t xml:space="preserve"> </w:t>
      </w:r>
      <w:r>
        <w:rPr>
          <w:sz w:val="24"/>
        </w:rPr>
        <w:t xml:space="preserve">                            </w:t>
      </w:r>
      <w:r>
        <w:rPr>
          <w:sz w:val="24"/>
        </w:rPr>
        <w:t>日期</w:t>
      </w:r>
      <w:r>
        <w:rPr>
          <w:rFonts w:hint="eastAsia"/>
          <w:sz w:val="24"/>
        </w:rPr>
        <w:t>：</w:t>
      </w:r>
    </w:p>
    <w:sectPr w:rsidR="00E625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330B0" w14:textId="77777777" w:rsidR="00817AB5" w:rsidRDefault="00817AB5" w:rsidP="00A7235D">
      <w:r>
        <w:separator/>
      </w:r>
    </w:p>
  </w:endnote>
  <w:endnote w:type="continuationSeparator" w:id="0">
    <w:p w14:paraId="767293E4" w14:textId="77777777" w:rsidR="00817AB5" w:rsidRDefault="00817AB5" w:rsidP="00A72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YaHei">
    <w:altName w:val="宋体"/>
    <w:charset w:val="86"/>
    <w:family w:val="roman"/>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5442F" w14:textId="77777777" w:rsidR="00817AB5" w:rsidRDefault="00817AB5" w:rsidP="00A7235D">
      <w:r>
        <w:separator/>
      </w:r>
    </w:p>
  </w:footnote>
  <w:footnote w:type="continuationSeparator" w:id="0">
    <w:p w14:paraId="0150D541" w14:textId="77777777" w:rsidR="00817AB5" w:rsidRDefault="00817AB5" w:rsidP="00A723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EAE"/>
    <w:multiLevelType w:val="hybridMultilevel"/>
    <w:tmpl w:val="10526B14"/>
    <w:lvl w:ilvl="0" w:tplc="80F0DD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3DF1722"/>
    <w:multiLevelType w:val="hybridMultilevel"/>
    <w:tmpl w:val="64243ED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EF14072"/>
    <w:multiLevelType w:val="multilevel"/>
    <w:tmpl w:val="4EF1407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7B704D7F"/>
    <w:multiLevelType w:val="multilevel"/>
    <w:tmpl w:val="7B704D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78340167">
    <w:abstractNumId w:val="2"/>
  </w:num>
  <w:num w:numId="2" w16cid:durableId="2140371949">
    <w:abstractNumId w:val="1"/>
  </w:num>
  <w:num w:numId="3" w16cid:durableId="2106917815">
    <w:abstractNumId w:val="0"/>
  </w:num>
  <w:num w:numId="4" w16cid:durableId="2213317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10C4"/>
    <w:rsid w:val="00013AE6"/>
    <w:rsid w:val="00015CB8"/>
    <w:rsid w:val="00020783"/>
    <w:rsid w:val="00050922"/>
    <w:rsid w:val="00086882"/>
    <w:rsid w:val="00090223"/>
    <w:rsid w:val="00091C8D"/>
    <w:rsid w:val="000D2FA7"/>
    <w:rsid w:val="00102673"/>
    <w:rsid w:val="00102C13"/>
    <w:rsid w:val="001501D1"/>
    <w:rsid w:val="001548E0"/>
    <w:rsid w:val="001549C7"/>
    <w:rsid w:val="001B219D"/>
    <w:rsid w:val="001D3367"/>
    <w:rsid w:val="002026B2"/>
    <w:rsid w:val="002212AC"/>
    <w:rsid w:val="00261EE1"/>
    <w:rsid w:val="00267E42"/>
    <w:rsid w:val="0028549E"/>
    <w:rsid w:val="00296B55"/>
    <w:rsid w:val="002D1729"/>
    <w:rsid w:val="002E518A"/>
    <w:rsid w:val="003009AA"/>
    <w:rsid w:val="00363C73"/>
    <w:rsid w:val="003923FC"/>
    <w:rsid w:val="003976B2"/>
    <w:rsid w:val="003C2330"/>
    <w:rsid w:val="003C7C5A"/>
    <w:rsid w:val="003D2DED"/>
    <w:rsid w:val="00424FFB"/>
    <w:rsid w:val="004251B4"/>
    <w:rsid w:val="004626C3"/>
    <w:rsid w:val="004973C3"/>
    <w:rsid w:val="004B0D2F"/>
    <w:rsid w:val="004D779C"/>
    <w:rsid w:val="00510C74"/>
    <w:rsid w:val="00516BC9"/>
    <w:rsid w:val="00516FB3"/>
    <w:rsid w:val="00547A75"/>
    <w:rsid w:val="005C1E4F"/>
    <w:rsid w:val="005C4758"/>
    <w:rsid w:val="005E2C0C"/>
    <w:rsid w:val="005F19E0"/>
    <w:rsid w:val="005F7E7B"/>
    <w:rsid w:val="00630F8F"/>
    <w:rsid w:val="0064088A"/>
    <w:rsid w:val="00642CDA"/>
    <w:rsid w:val="00670B3D"/>
    <w:rsid w:val="006D67E0"/>
    <w:rsid w:val="00705387"/>
    <w:rsid w:val="00720BC4"/>
    <w:rsid w:val="007230C5"/>
    <w:rsid w:val="00731AE1"/>
    <w:rsid w:val="00744E8E"/>
    <w:rsid w:val="00750961"/>
    <w:rsid w:val="00757D88"/>
    <w:rsid w:val="00776A81"/>
    <w:rsid w:val="007A7733"/>
    <w:rsid w:val="007B2AE3"/>
    <w:rsid w:val="007C3E57"/>
    <w:rsid w:val="00811B08"/>
    <w:rsid w:val="00817AB5"/>
    <w:rsid w:val="00822485"/>
    <w:rsid w:val="00825420"/>
    <w:rsid w:val="00832C3E"/>
    <w:rsid w:val="00872767"/>
    <w:rsid w:val="008A717C"/>
    <w:rsid w:val="008D62B6"/>
    <w:rsid w:val="008E3DB8"/>
    <w:rsid w:val="008F0FFC"/>
    <w:rsid w:val="008F5C2B"/>
    <w:rsid w:val="00903BE2"/>
    <w:rsid w:val="00903C2B"/>
    <w:rsid w:val="0091092B"/>
    <w:rsid w:val="009149BA"/>
    <w:rsid w:val="00961437"/>
    <w:rsid w:val="009662CD"/>
    <w:rsid w:val="009742F1"/>
    <w:rsid w:val="00995429"/>
    <w:rsid w:val="00996AC3"/>
    <w:rsid w:val="009B6E26"/>
    <w:rsid w:val="009C3224"/>
    <w:rsid w:val="009C4C31"/>
    <w:rsid w:val="009F5C3A"/>
    <w:rsid w:val="00A01094"/>
    <w:rsid w:val="00A11447"/>
    <w:rsid w:val="00A20D98"/>
    <w:rsid w:val="00A27625"/>
    <w:rsid w:val="00A44E8A"/>
    <w:rsid w:val="00A533CA"/>
    <w:rsid w:val="00A7235D"/>
    <w:rsid w:val="00A8112C"/>
    <w:rsid w:val="00AB5E70"/>
    <w:rsid w:val="00AC1D37"/>
    <w:rsid w:val="00AC67EF"/>
    <w:rsid w:val="00AF7150"/>
    <w:rsid w:val="00AF7A8B"/>
    <w:rsid w:val="00B04741"/>
    <w:rsid w:val="00B64004"/>
    <w:rsid w:val="00B7785A"/>
    <w:rsid w:val="00B90DC2"/>
    <w:rsid w:val="00B971DE"/>
    <w:rsid w:val="00BA1B3F"/>
    <w:rsid w:val="00BB7649"/>
    <w:rsid w:val="00BC2767"/>
    <w:rsid w:val="00C102A3"/>
    <w:rsid w:val="00C1298E"/>
    <w:rsid w:val="00C26D9F"/>
    <w:rsid w:val="00C442AD"/>
    <w:rsid w:val="00C85C92"/>
    <w:rsid w:val="00C9392D"/>
    <w:rsid w:val="00CA3288"/>
    <w:rsid w:val="00CA3E3B"/>
    <w:rsid w:val="00D011DC"/>
    <w:rsid w:val="00D04097"/>
    <w:rsid w:val="00D24D09"/>
    <w:rsid w:val="00D6466A"/>
    <w:rsid w:val="00D72E1E"/>
    <w:rsid w:val="00D81354"/>
    <w:rsid w:val="00DA098C"/>
    <w:rsid w:val="00DA631E"/>
    <w:rsid w:val="00E00131"/>
    <w:rsid w:val="00E147A9"/>
    <w:rsid w:val="00E465E2"/>
    <w:rsid w:val="00E5012E"/>
    <w:rsid w:val="00E625CB"/>
    <w:rsid w:val="00E762FD"/>
    <w:rsid w:val="00E930C8"/>
    <w:rsid w:val="00EA6BA9"/>
    <w:rsid w:val="00EE38CF"/>
    <w:rsid w:val="00F278CD"/>
    <w:rsid w:val="00F347F0"/>
    <w:rsid w:val="00F34AE9"/>
    <w:rsid w:val="00F357B0"/>
    <w:rsid w:val="00F43549"/>
    <w:rsid w:val="00F50B62"/>
    <w:rsid w:val="00F70F95"/>
    <w:rsid w:val="00F855E3"/>
    <w:rsid w:val="00FC7C08"/>
    <w:rsid w:val="00FE15FA"/>
    <w:rsid w:val="2D070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242831"/>
  <w15:docId w15:val="{D2CF5B5F-1A0E-40AC-9A22-0148144C1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spacing w:beforeAutospacing="1" w:afterAutospacing="1" w:line="278" w:lineRule="auto"/>
      <w:jc w:val="left"/>
    </w:pPr>
    <w:rPr>
      <w:rFonts w:ascii="Times New Roman" w:eastAsia="宋体" w:hAnsi="Times New Roman" w:cs="Times New Roman"/>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Pr>
      <w:rFonts w:ascii="MicrosoftYaHei" w:hAnsi="MicrosoftYaHei" w:hint="default"/>
      <w:color w:val="000000"/>
      <w:sz w:val="22"/>
      <w:szCs w:val="22"/>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9">
    <w:name w:val="List Paragraph"/>
    <w:basedOn w:val="a"/>
    <w:autoRedefine/>
    <w:uiPriority w:val="99"/>
    <w:qFormat/>
    <w:pPr>
      <w:tabs>
        <w:tab w:val="left" w:pos="1428"/>
      </w:tabs>
      <w:ind w:firstLineChars="200" w:firstLine="420"/>
      <w:jc w:val="left"/>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46834">
      <w:bodyDiv w:val="1"/>
      <w:marLeft w:val="0"/>
      <w:marRight w:val="0"/>
      <w:marTop w:val="0"/>
      <w:marBottom w:val="0"/>
      <w:divBdr>
        <w:top w:val="none" w:sz="0" w:space="0" w:color="auto"/>
        <w:left w:val="none" w:sz="0" w:space="0" w:color="auto"/>
        <w:bottom w:val="none" w:sz="0" w:space="0" w:color="auto"/>
        <w:right w:val="none" w:sz="0" w:space="0" w:color="auto"/>
      </w:divBdr>
    </w:div>
    <w:div w:id="603457455">
      <w:bodyDiv w:val="1"/>
      <w:marLeft w:val="0"/>
      <w:marRight w:val="0"/>
      <w:marTop w:val="0"/>
      <w:marBottom w:val="0"/>
      <w:divBdr>
        <w:top w:val="none" w:sz="0" w:space="0" w:color="auto"/>
        <w:left w:val="none" w:sz="0" w:space="0" w:color="auto"/>
        <w:bottom w:val="none" w:sz="0" w:space="0" w:color="auto"/>
        <w:right w:val="none" w:sz="0" w:space="0" w:color="auto"/>
      </w:divBdr>
    </w:div>
    <w:div w:id="613096858">
      <w:bodyDiv w:val="1"/>
      <w:marLeft w:val="0"/>
      <w:marRight w:val="0"/>
      <w:marTop w:val="0"/>
      <w:marBottom w:val="0"/>
      <w:divBdr>
        <w:top w:val="none" w:sz="0" w:space="0" w:color="auto"/>
        <w:left w:val="none" w:sz="0" w:space="0" w:color="auto"/>
        <w:bottom w:val="none" w:sz="0" w:space="0" w:color="auto"/>
        <w:right w:val="none" w:sz="0" w:space="0" w:color="auto"/>
      </w:divBdr>
    </w:div>
    <w:div w:id="701782354">
      <w:bodyDiv w:val="1"/>
      <w:marLeft w:val="0"/>
      <w:marRight w:val="0"/>
      <w:marTop w:val="0"/>
      <w:marBottom w:val="0"/>
      <w:divBdr>
        <w:top w:val="none" w:sz="0" w:space="0" w:color="auto"/>
        <w:left w:val="none" w:sz="0" w:space="0" w:color="auto"/>
        <w:bottom w:val="none" w:sz="0" w:space="0" w:color="auto"/>
        <w:right w:val="none" w:sz="0" w:space="0" w:color="auto"/>
      </w:divBdr>
    </w:div>
    <w:div w:id="12958661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221</Words>
  <Characters>1261</Characters>
  <Application>Microsoft Office Word</Application>
  <DocSecurity>0</DocSecurity>
  <Lines>10</Lines>
  <Paragraphs>2</Paragraphs>
  <ScaleCrop>false</ScaleCrop>
  <Company>P R C</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41</cp:revision>
  <dcterms:created xsi:type="dcterms:W3CDTF">2024-07-15T01:36:00Z</dcterms:created>
  <dcterms:modified xsi:type="dcterms:W3CDTF">2025-11-18T08:13:00Z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eyJoZGlkIjoiMzRjNjk2NGVmMGE4ZDM3YzgzYTU2OGVmMWMzOTE4YmQifQ==</vt:lpwstr>
  </property>
  <property fmtid="{D5CDD505-2E9C-101B-9397-08002B2CF9AE}" pid="3" name="KSOProductBuildVer">
    <vt:lpwstr>2052-12.1.0.22529</vt:lpwstr>
  </property>
  <property fmtid="{D5CDD505-2E9C-101B-9397-08002B2CF9AE}" pid="4" name="ICV">
    <vt:lpwstr>20B1B4D6E71F47CB8E65CCEFBC87FC75_12</vt:lpwstr>
  </property>
</Properties>
</file>