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671949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调束用冲击磁铁及NLK冲击磁铁励磁脉冲源</w:t>
            </w:r>
          </w:p>
          <w:p w14:paraId="4EDCA22E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48394E6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调束用冲击磁铁励磁脉冲源</w:t>
            </w:r>
            <w:r>
              <w:rPr>
                <w:bCs/>
                <w:szCs w:val="21"/>
              </w:rPr>
              <w:t>为合肥先进光源</w:t>
            </w:r>
            <w:r>
              <w:rPr>
                <w:rFonts w:hint="eastAsia"/>
                <w:bCs/>
                <w:szCs w:val="21"/>
              </w:rPr>
              <w:t>束流首圈调试时使用的K</w:t>
            </w:r>
            <w:r>
              <w:rPr>
                <w:bCs/>
                <w:szCs w:val="21"/>
              </w:rPr>
              <w:t>3</w:t>
            </w:r>
            <w:r>
              <w:rPr>
                <w:rFonts w:hint="eastAsia"/>
                <w:bCs/>
                <w:szCs w:val="21"/>
              </w:rPr>
              <w:t>提供励磁脉冲电流，NLK冲击磁铁励磁脉冲源为非线性脉冲磁铁</w:t>
            </w:r>
            <w:r>
              <w:rPr>
                <w:bCs/>
                <w:szCs w:val="21"/>
              </w:rPr>
              <w:t>注入</w:t>
            </w:r>
            <w:r>
              <w:rPr>
                <w:rFonts w:hint="eastAsia"/>
                <w:bCs/>
                <w:szCs w:val="21"/>
              </w:rPr>
              <w:t>方案中的NLK冲击磁铁</w:t>
            </w:r>
            <w:r>
              <w:rPr>
                <w:bCs/>
                <w:szCs w:val="21"/>
              </w:rPr>
              <w:t>提供励磁脉冲电流，具体指标要求如</w:t>
            </w:r>
            <w:r>
              <w:rPr>
                <w:rFonts w:hint="eastAsia"/>
                <w:bCs/>
                <w:szCs w:val="21"/>
              </w:rPr>
              <w:t>表1和表2所示</w:t>
            </w:r>
            <w:r>
              <w:rPr>
                <w:bCs/>
                <w:szCs w:val="21"/>
              </w:rPr>
              <w:t>：</w:t>
            </w:r>
          </w:p>
          <w:p w14:paraId="6ECFD0FE">
            <w:pPr>
              <w:tabs>
                <w:tab w:val="left" w:pos="6915"/>
              </w:tabs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表1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调束用冲击磁铁励磁脉冲源指标要求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48"/>
              <w:gridCol w:w="977"/>
              <w:gridCol w:w="1619"/>
              <w:gridCol w:w="2273"/>
            </w:tblGrid>
            <w:tr w14:paraId="2C9FEFA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" w:hRule="atLeast"/>
              </w:trPr>
              <w:tc>
                <w:tcPr>
                  <w:tcW w:w="928" w:type="dxa"/>
                  <w:shd w:val="clear" w:color="auto" w:fill="auto"/>
                  <w:vAlign w:val="center"/>
                </w:tcPr>
                <w:p w14:paraId="47DE2BD3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负载</w:t>
                  </w: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314416F8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项目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1C31EF5A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指标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42B81F9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备注</w:t>
                  </w:r>
                </w:p>
              </w:tc>
            </w:tr>
            <w:tr w14:paraId="1FF951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" w:hRule="atLeast"/>
              </w:trPr>
              <w:tc>
                <w:tcPr>
                  <w:tcW w:w="928" w:type="dxa"/>
                  <w:vMerge w:val="restart"/>
                  <w:shd w:val="clear" w:color="auto" w:fill="auto"/>
                  <w:vAlign w:val="center"/>
                </w:tcPr>
                <w:p w14:paraId="0EB94AFC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rFonts w:hint="eastAsia"/>
                      <w:bCs/>
                      <w:sz w:val="22"/>
                      <w:szCs w:val="21"/>
                    </w:rPr>
                    <w:t>调束用冲击磁铁励磁脉冲源</w:t>
                  </w: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757E684E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负载电感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0D747279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电感≤0.</w:t>
                  </w:r>
                  <w:r>
                    <w:rPr>
                      <w:rFonts w:hint="eastAsia"/>
                      <w:sz w:val="22"/>
                      <w:szCs w:val="21"/>
                    </w:rPr>
                    <w:t>9</w:t>
                  </w:r>
                  <w:r>
                    <w:rPr>
                      <w:sz w:val="22"/>
                      <w:szCs w:val="21"/>
                    </w:rPr>
                    <w:t xml:space="preserve"> uH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4758426E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负载为冲击磁铁，由采购方提供。</w:t>
                  </w:r>
                </w:p>
              </w:tc>
            </w:tr>
            <w:tr w14:paraId="7AE470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3AC4D9A7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2CDEB8E1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rFonts w:hint="eastAsia"/>
                      <w:bCs/>
                      <w:sz w:val="22"/>
                      <w:szCs w:val="21"/>
                    </w:rPr>
                    <w:t>充电电压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77676813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≤</w:t>
                  </w:r>
                  <w:r>
                    <w:rPr>
                      <w:rFonts w:hint="eastAsia"/>
                      <w:sz w:val="22"/>
                      <w:szCs w:val="21"/>
                    </w:rPr>
                    <w:t>25kV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5510A706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</w:tr>
            <w:tr w14:paraId="4731E6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28B9672E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6BB80D13">
                  <w:pPr>
                    <w:tabs>
                      <w:tab w:val="left" w:pos="6915"/>
                    </w:tabs>
                    <w:jc w:val="center"/>
                    <w:rPr>
                      <w:sz w:val="22"/>
                      <w:szCs w:val="21"/>
                    </w:rPr>
                  </w:pPr>
                  <w:r>
                    <w:rPr>
                      <w:rFonts w:hint="eastAsia"/>
                      <w:sz w:val="22"/>
                      <w:szCs w:val="21"/>
                    </w:rPr>
                    <w:t>最大</w:t>
                  </w:r>
                  <w:r>
                    <w:rPr>
                      <w:sz w:val="22"/>
                      <w:szCs w:val="21"/>
                    </w:rPr>
                    <w:t>放电电流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0EDA890B">
                  <w:pPr>
                    <w:tabs>
                      <w:tab w:val="left" w:pos="6915"/>
                    </w:tabs>
                    <w:jc w:val="center"/>
                    <w:rPr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≥</w:t>
                  </w:r>
                  <w:r>
                    <w:rPr>
                      <w:rFonts w:hint="eastAsia"/>
                      <w:sz w:val="22"/>
                      <w:szCs w:val="21"/>
                    </w:rPr>
                    <w:t>4</w:t>
                  </w:r>
                  <w:r>
                    <w:rPr>
                      <w:sz w:val="22"/>
                      <w:szCs w:val="21"/>
                    </w:rPr>
                    <w:t>.</w:t>
                  </w:r>
                  <w:r>
                    <w:rPr>
                      <w:rFonts w:hint="eastAsia"/>
                      <w:sz w:val="22"/>
                      <w:szCs w:val="21"/>
                    </w:rPr>
                    <w:t>8</w:t>
                  </w:r>
                  <w:r>
                    <w:rPr>
                      <w:sz w:val="22"/>
                      <w:szCs w:val="21"/>
                    </w:rPr>
                    <w:t xml:space="preserve"> kA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70C81747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</w:tr>
            <w:tr w14:paraId="6E79D1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60531986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6F07083D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高压脉冲波形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7BD3EED6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半正弦波，底宽≤</w:t>
                  </w:r>
                  <w:r>
                    <w:rPr>
                      <w:rFonts w:hint="eastAsia"/>
                      <w:sz w:val="22"/>
                      <w:szCs w:val="21"/>
                    </w:rPr>
                    <w:t>1.5</w:t>
                  </w:r>
                  <w:r>
                    <w:rPr>
                      <w:sz w:val="22"/>
                      <w:szCs w:val="21"/>
                    </w:rPr>
                    <w:t xml:space="preserve"> us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0C7E907D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在峰值电流的0%电平处测量脉冲宽度</w:t>
                  </w:r>
                </w:p>
              </w:tc>
            </w:tr>
            <w:tr w14:paraId="4300C36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5276FB4A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39931455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脉冲前沿抖动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5A7FE189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≤10 ns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76FC2ABE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RMS</w:t>
                  </w:r>
                </w:p>
              </w:tc>
            </w:tr>
            <w:tr w14:paraId="3D7E5E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0F54C3A6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41E2757F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最大重复频率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27C259D6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10 pps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65FD3245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1-10pps连续可调</w:t>
                  </w:r>
                </w:p>
              </w:tc>
            </w:tr>
            <w:tr w14:paraId="5AF509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33FC41BF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6F730FC8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重复稳定度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2C314BDE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＜0.02%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7A383FD0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RMS、半小时测量</w:t>
                  </w:r>
                </w:p>
              </w:tc>
            </w:tr>
          </w:tbl>
          <w:p w14:paraId="5D4C0163">
            <w:pPr>
              <w:tabs>
                <w:tab w:val="left" w:pos="6915"/>
              </w:tabs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表2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NLK冲击磁铁励磁脉冲源指标要求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7"/>
              <w:gridCol w:w="964"/>
              <w:gridCol w:w="1597"/>
              <w:gridCol w:w="2239"/>
            </w:tblGrid>
            <w:tr w14:paraId="15B5FF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" w:hRule="atLeast"/>
              </w:trPr>
              <w:tc>
                <w:tcPr>
                  <w:tcW w:w="928" w:type="dxa"/>
                  <w:shd w:val="clear" w:color="auto" w:fill="auto"/>
                  <w:vAlign w:val="center"/>
                </w:tcPr>
                <w:p w14:paraId="4AC92277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负载</w:t>
                  </w: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213BFFA1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项目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15CA998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指标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186FD7C9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备注</w:t>
                  </w:r>
                </w:p>
              </w:tc>
            </w:tr>
            <w:tr w14:paraId="576F06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" w:hRule="atLeast"/>
              </w:trPr>
              <w:tc>
                <w:tcPr>
                  <w:tcW w:w="928" w:type="dxa"/>
                  <w:vMerge w:val="restart"/>
                  <w:shd w:val="clear" w:color="auto" w:fill="auto"/>
                  <w:vAlign w:val="center"/>
                </w:tcPr>
                <w:p w14:paraId="0213F3E7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rFonts w:hint="eastAsia"/>
                      <w:bCs/>
                      <w:sz w:val="22"/>
                      <w:szCs w:val="21"/>
                    </w:rPr>
                    <w:t>NLK冲击磁铁励磁脉冲源</w:t>
                  </w: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5280A475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bCs/>
                      <w:sz w:val="22"/>
                      <w:szCs w:val="21"/>
                    </w:rPr>
                    <w:t>负载电感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2C31F78C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电感≤</w:t>
                  </w:r>
                  <w:r>
                    <w:rPr>
                      <w:rFonts w:hint="eastAsia"/>
                      <w:sz w:val="22"/>
                      <w:szCs w:val="21"/>
                    </w:rPr>
                    <w:t>2</w:t>
                  </w:r>
                  <w:r>
                    <w:rPr>
                      <w:sz w:val="22"/>
                      <w:szCs w:val="21"/>
                    </w:rPr>
                    <w:t>.</w:t>
                  </w:r>
                  <w:r>
                    <w:rPr>
                      <w:rFonts w:hint="eastAsia"/>
                      <w:sz w:val="22"/>
                      <w:szCs w:val="21"/>
                    </w:rPr>
                    <w:t>3</w:t>
                  </w:r>
                  <w:r>
                    <w:rPr>
                      <w:sz w:val="22"/>
                      <w:szCs w:val="21"/>
                    </w:rPr>
                    <w:t xml:space="preserve"> uH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13F27494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负载为冲击磁铁，由采购方提供。</w:t>
                  </w:r>
                </w:p>
              </w:tc>
            </w:tr>
            <w:tr w14:paraId="73EBC8C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5959CAFF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64CD78B1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rFonts w:hint="eastAsia"/>
                      <w:bCs/>
                      <w:sz w:val="22"/>
                      <w:szCs w:val="21"/>
                    </w:rPr>
                    <w:t>充电电压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399C194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≤</w:t>
                  </w:r>
                  <w:r>
                    <w:rPr>
                      <w:rFonts w:hint="eastAsia"/>
                      <w:sz w:val="22"/>
                      <w:szCs w:val="21"/>
                    </w:rPr>
                    <w:t>25kV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3481D597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</w:tr>
            <w:tr w14:paraId="2AF7D4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320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3783ADED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51B43955">
                  <w:pPr>
                    <w:tabs>
                      <w:tab w:val="left" w:pos="6915"/>
                    </w:tabs>
                    <w:jc w:val="center"/>
                    <w:rPr>
                      <w:sz w:val="22"/>
                      <w:szCs w:val="21"/>
                    </w:rPr>
                  </w:pPr>
                  <w:r>
                    <w:rPr>
                      <w:rFonts w:hint="eastAsia"/>
                      <w:sz w:val="22"/>
                      <w:szCs w:val="21"/>
                    </w:rPr>
                    <w:t>最大</w:t>
                  </w:r>
                  <w:r>
                    <w:rPr>
                      <w:sz w:val="22"/>
                      <w:szCs w:val="21"/>
                    </w:rPr>
                    <w:t>放电电流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0A0862B9">
                  <w:pPr>
                    <w:tabs>
                      <w:tab w:val="left" w:pos="6915"/>
                    </w:tabs>
                    <w:jc w:val="center"/>
                    <w:rPr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≥</w:t>
                  </w:r>
                  <w:r>
                    <w:rPr>
                      <w:rFonts w:hint="eastAsia"/>
                      <w:sz w:val="22"/>
                      <w:szCs w:val="21"/>
                    </w:rPr>
                    <w:t>3</w:t>
                  </w:r>
                  <w:r>
                    <w:rPr>
                      <w:sz w:val="22"/>
                      <w:szCs w:val="21"/>
                    </w:rPr>
                    <w:t>.5 kA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7EC01BCF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</w:tr>
            <w:tr w14:paraId="1581C70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00AAA473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2D736E33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高压脉冲波形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40576AA1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半正弦波，底宽≤</w:t>
                  </w:r>
                  <w:r>
                    <w:rPr>
                      <w:rFonts w:hint="eastAsia"/>
                      <w:sz w:val="22"/>
                      <w:szCs w:val="21"/>
                    </w:rPr>
                    <w:t>2</w:t>
                  </w:r>
                  <w:r>
                    <w:rPr>
                      <w:sz w:val="22"/>
                      <w:szCs w:val="21"/>
                    </w:rPr>
                    <w:t>.</w:t>
                  </w:r>
                  <w:r>
                    <w:rPr>
                      <w:rFonts w:hint="eastAsia"/>
                      <w:sz w:val="22"/>
                      <w:szCs w:val="21"/>
                    </w:rPr>
                    <w:t>2</w:t>
                  </w:r>
                  <w:r>
                    <w:rPr>
                      <w:sz w:val="22"/>
                      <w:szCs w:val="21"/>
                    </w:rPr>
                    <w:t xml:space="preserve"> us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74A2682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在峰值电流的0%电平处测量脉冲宽度</w:t>
                  </w:r>
                </w:p>
              </w:tc>
            </w:tr>
            <w:tr w14:paraId="730FB0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2EBC458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07C36565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脉冲前沿抖动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6E158D0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≤10 ns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4BCF8435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RMS</w:t>
                  </w:r>
                </w:p>
              </w:tc>
            </w:tr>
            <w:tr w14:paraId="6449D96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3BE3E742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312B94BC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最大重复频率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6FF5CE41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10 pps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43F68B46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1-10pps连续可调</w:t>
                  </w:r>
                </w:p>
              </w:tc>
            </w:tr>
            <w:tr w14:paraId="79E6E0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302" w:hRule="atLeast"/>
              </w:trPr>
              <w:tc>
                <w:tcPr>
                  <w:tcW w:w="928" w:type="dxa"/>
                  <w:vMerge w:val="continue"/>
                  <w:shd w:val="clear" w:color="auto" w:fill="auto"/>
                  <w:vAlign w:val="center"/>
                </w:tcPr>
                <w:p w14:paraId="0026A150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</w:p>
              </w:tc>
              <w:tc>
                <w:tcPr>
                  <w:tcW w:w="1695" w:type="dxa"/>
                  <w:shd w:val="clear" w:color="auto" w:fill="auto"/>
                  <w:vAlign w:val="center"/>
                </w:tcPr>
                <w:p w14:paraId="65071975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重复稳定度</w:t>
                  </w:r>
                </w:p>
              </w:tc>
              <w:tc>
                <w:tcPr>
                  <w:tcW w:w="2738" w:type="dxa"/>
                  <w:shd w:val="clear" w:color="auto" w:fill="auto"/>
                  <w:vAlign w:val="center"/>
                </w:tcPr>
                <w:p w14:paraId="5C687B77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＜0.02%</w:t>
                  </w:r>
                </w:p>
              </w:tc>
              <w:tc>
                <w:tcPr>
                  <w:tcW w:w="4047" w:type="dxa"/>
                  <w:shd w:val="clear" w:color="auto" w:fill="auto"/>
                  <w:vAlign w:val="center"/>
                </w:tcPr>
                <w:p w14:paraId="2F5563EA">
                  <w:pPr>
                    <w:tabs>
                      <w:tab w:val="left" w:pos="6915"/>
                    </w:tabs>
                    <w:jc w:val="center"/>
                    <w:rPr>
                      <w:bCs/>
                      <w:sz w:val="22"/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>RMS、半小时测量</w:t>
                  </w:r>
                </w:p>
              </w:tc>
            </w:tr>
          </w:tbl>
          <w:p w14:paraId="4986D3B1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B0338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>个月内</w:t>
            </w:r>
          </w:p>
          <w:p w14:paraId="3005DDD9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供货方于合同生效之日起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hint="eastAsia" w:ascii="宋体" w:hAnsi="宋体"/>
                <w:bCs/>
                <w:szCs w:val="21"/>
              </w:rPr>
              <w:t>个月内将货物送达至采购方指定地点。</w:t>
            </w:r>
          </w:p>
          <w:p w14:paraId="218EAAA9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签订合同后，预付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合同总额的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>0%；设计方案经采购人书面批准后，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支付合同总额的</w:t>
            </w:r>
            <w:r>
              <w:rPr>
                <w:rFonts w:hint="eastAsia" w:ascii="宋体" w:hAnsi="宋体"/>
                <w:bCs/>
                <w:szCs w:val="21"/>
              </w:rPr>
              <w:t>3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hint="eastAsia" w:ascii="宋体" w:hAnsi="宋体"/>
                <w:bCs/>
                <w:szCs w:val="21"/>
              </w:rPr>
              <w:t>%；货到验收合格后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支付合同尾款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</w:p>
          <w:p w14:paraId="24CBA69C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验收指标分</w:t>
            </w:r>
            <w:r>
              <w:rPr>
                <w:rFonts w:hint="eastAsia"/>
                <w:szCs w:val="21"/>
                <w:lang w:val="en-US" w:eastAsia="zh-CN"/>
              </w:rPr>
              <w:t>别</w:t>
            </w:r>
            <w:r>
              <w:rPr>
                <w:rFonts w:hint="eastAsia"/>
                <w:szCs w:val="21"/>
              </w:rPr>
              <w:t>如表1和表2所示。</w:t>
            </w:r>
          </w:p>
          <w:p w14:paraId="6C118106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在设备部件加工完成后并在整体组装前进行阶段性检查。</w:t>
            </w:r>
          </w:p>
          <w:p w14:paraId="0092C308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产品质保期为12个月，时间自验收合格之日起计算。质保期内货物出现质量问题的，供货方应自接到采购方异议之日起 3日内以更换等方式解决，因此所发生的费用由供货方承担。供货方免费提供必要的技术咨询以确保采购方能安全、有效的使用标的货物。</w:t>
            </w:r>
          </w:p>
          <w:p w14:paraId="3983D9D2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其它：</w:t>
            </w:r>
            <w:r>
              <w:rPr>
                <w:rFonts w:hint="eastAsia" w:ascii="宋体" w:hAnsi="宋体"/>
                <w:bCs/>
                <w:szCs w:val="21"/>
              </w:rPr>
              <w:t>设计方案需要得到采购人书面批准方可加工。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6610E02"/>
    <w:rsid w:val="19141B03"/>
    <w:rsid w:val="2D070EC5"/>
    <w:rsid w:val="468B21C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1002</Words>
  <Characters>1202</Characters>
  <Lines>5</Lines>
  <Paragraphs>1</Paragraphs>
  <TotalTime>0</TotalTime>
  <ScaleCrop>false</ScaleCrop>
  <LinksUpToDate>false</LinksUpToDate>
  <CharactersWithSpaces>1238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2025-12-11T10:18:48Z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