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7"/>
        <w:tblW w:w="10120"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1249"/>
        <w:gridCol w:w="5991"/>
        <w:gridCol w:w="1403"/>
        <w:gridCol w:w="1041"/>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436" w:type="dxa"/>
            <w:vAlign w:val="center"/>
          </w:tcPr>
          <w:p w14:paraId="75C250BA">
            <w:pPr>
              <w:spacing w:line="240" w:lineRule="atLeast"/>
              <w:jc w:val="center"/>
              <w:rPr>
                <w:sz w:val="22"/>
              </w:rPr>
            </w:pPr>
            <w:r>
              <w:rPr>
                <w:rFonts w:hint="eastAsia"/>
                <w:sz w:val="22"/>
              </w:rPr>
              <w:t>序号</w:t>
            </w:r>
          </w:p>
        </w:tc>
        <w:tc>
          <w:tcPr>
            <w:tcW w:w="1249" w:type="dxa"/>
            <w:vAlign w:val="center"/>
          </w:tcPr>
          <w:p w14:paraId="3A9FF52B">
            <w:pPr>
              <w:spacing w:line="240" w:lineRule="atLeast"/>
              <w:jc w:val="center"/>
              <w:rPr>
                <w:sz w:val="22"/>
              </w:rPr>
            </w:pPr>
            <w:r>
              <w:rPr>
                <w:rFonts w:hint="eastAsia"/>
                <w:sz w:val="22"/>
              </w:rPr>
              <w:t>名称</w:t>
            </w:r>
          </w:p>
        </w:tc>
        <w:tc>
          <w:tcPr>
            <w:tcW w:w="5991" w:type="dxa"/>
            <w:vAlign w:val="center"/>
          </w:tcPr>
          <w:p w14:paraId="258D475E">
            <w:pPr>
              <w:spacing w:line="240" w:lineRule="atLeast"/>
              <w:jc w:val="center"/>
              <w:rPr>
                <w:sz w:val="22"/>
              </w:rPr>
            </w:pPr>
            <w:r>
              <w:rPr>
                <w:rFonts w:hint="eastAsia"/>
                <w:sz w:val="22"/>
              </w:rPr>
              <w:t>技术指标</w:t>
            </w:r>
          </w:p>
        </w:tc>
        <w:tc>
          <w:tcPr>
            <w:tcW w:w="1403" w:type="dxa"/>
            <w:vAlign w:val="center"/>
          </w:tcPr>
          <w:p w14:paraId="37F7A556">
            <w:pPr>
              <w:spacing w:line="240" w:lineRule="atLeast"/>
              <w:jc w:val="center"/>
              <w:rPr>
                <w:szCs w:val="21"/>
              </w:rPr>
            </w:pPr>
            <w:r>
              <w:rPr>
                <w:rFonts w:hint="eastAsia"/>
                <w:szCs w:val="21"/>
              </w:rPr>
              <w:t>偏离说明</w:t>
            </w:r>
          </w:p>
          <w:p w14:paraId="328E92F5">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1041" w:type="dxa"/>
            <w:vAlign w:val="center"/>
          </w:tcPr>
          <w:p w14:paraId="22A89C1E">
            <w:pPr>
              <w:spacing w:line="240" w:lineRule="atLeast"/>
              <w:jc w:val="center"/>
              <w:rPr>
                <w:sz w:val="24"/>
              </w:rPr>
            </w:pPr>
            <w:r>
              <w:rPr>
                <w:rFonts w:hint="eastAsia"/>
                <w:sz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36" w:type="dxa"/>
            <w:vAlign w:val="center"/>
          </w:tcPr>
          <w:p w14:paraId="185CA09D">
            <w:pPr>
              <w:spacing w:line="240" w:lineRule="atLeast"/>
              <w:jc w:val="center"/>
            </w:pPr>
            <w:r>
              <w:rPr>
                <w:rFonts w:hint="eastAsia"/>
              </w:rPr>
              <w:t>1</w:t>
            </w:r>
          </w:p>
        </w:tc>
        <w:tc>
          <w:tcPr>
            <w:tcW w:w="1249" w:type="dxa"/>
            <w:tcBorders>
              <w:bottom w:val="single" w:color="auto" w:sz="4" w:space="0"/>
            </w:tcBorders>
            <w:shd w:val="clear" w:color="auto" w:fill="auto"/>
            <w:vAlign w:val="center"/>
          </w:tcPr>
          <w:p w14:paraId="7E88FD24">
            <w:pPr>
              <w:widowControl/>
              <w:spacing w:line="240" w:lineRule="atLeast"/>
              <w:jc w:val="center"/>
              <w:rPr>
                <w:rFonts w:ascii="Times New Roman" w:hAnsi="Times New Roman" w:eastAsia="宋体" w:cs="Times New Roman"/>
                <w:szCs w:val="24"/>
              </w:rPr>
            </w:pPr>
            <w:r>
              <w:rPr>
                <w:rFonts w:hint="eastAsia" w:ascii="Times New Roman" w:hAnsi="Times New Roman" w:eastAsia="宋体" w:cs="Times New Roman"/>
                <w:b w:val="0"/>
                <w:bCs w:val="0"/>
                <w:sz w:val="24"/>
                <w:szCs w:val="24"/>
              </w:rPr>
              <w:t>真空阀门联锁保护系统</w:t>
            </w:r>
          </w:p>
        </w:tc>
        <w:tc>
          <w:tcPr>
            <w:tcW w:w="5991" w:type="dxa"/>
            <w:tcBorders>
              <w:bottom w:val="single" w:color="auto" w:sz="4" w:space="0"/>
            </w:tcBorders>
            <w:shd w:val="clear" w:color="auto" w:fill="auto"/>
            <w:vAlign w:val="center"/>
          </w:tcPr>
          <w:p w14:paraId="63747CA9">
            <w:pPr>
              <w:tabs>
                <w:tab w:val="left" w:pos="6915"/>
              </w:tabs>
              <w:jc w:val="left"/>
              <w:rPr>
                <w:rFonts w:hint="eastAsia" w:ascii="宋体" w:hAnsi="宋体" w:cs="宋体"/>
                <w:b/>
                <w:sz w:val="24"/>
              </w:rPr>
            </w:pPr>
            <w:r>
              <w:rPr>
                <w:rFonts w:hint="eastAsia" w:ascii="宋体" w:hAnsi="宋体" w:cs="宋体"/>
                <w:b/>
                <w:sz w:val="24"/>
              </w:rPr>
              <w:t>1 阀门联锁保护系统联锁逻辑</w:t>
            </w:r>
          </w:p>
          <w:p w14:paraId="544418A8">
            <w:pPr>
              <w:tabs>
                <w:tab w:val="left" w:pos="6915"/>
              </w:tabs>
              <w:ind w:firstLine="480" w:firstLineChars="200"/>
              <w:jc w:val="left"/>
              <w:rPr>
                <w:rFonts w:hint="eastAsia" w:ascii="宋体" w:hAnsi="宋体" w:cs="宋体"/>
                <w:bCs/>
                <w:sz w:val="24"/>
              </w:rPr>
            </w:pPr>
            <w:r>
              <w:rPr>
                <w:rFonts w:hint="eastAsia" w:ascii="宋体" w:hAnsi="宋体" w:cs="宋体"/>
                <w:bCs/>
                <w:sz w:val="24"/>
              </w:rPr>
              <w:t>本次采购的真空阀门联锁保护系统主要通过控制阀门开关从而保护真空系统内部环境。</w:t>
            </w:r>
          </w:p>
          <w:p w14:paraId="2AB05370">
            <w:pPr>
              <w:tabs>
                <w:tab w:val="left" w:pos="6915"/>
              </w:tabs>
              <w:jc w:val="left"/>
              <w:rPr>
                <w:rFonts w:hint="eastAsia" w:ascii="宋体" w:hAnsi="宋体" w:cs="宋体"/>
                <w:b/>
                <w:sz w:val="24"/>
              </w:rPr>
            </w:pPr>
            <w:r>
              <w:rPr>
                <w:rFonts w:hint="eastAsia" w:ascii="宋体" w:hAnsi="宋体" w:cs="宋体"/>
                <w:b/>
                <w:sz w:val="24"/>
              </w:rPr>
              <w:t>1.1主要内容：</w:t>
            </w:r>
          </w:p>
          <w:p w14:paraId="4FF22473">
            <w:pPr>
              <w:tabs>
                <w:tab w:val="left" w:pos="6915"/>
              </w:tabs>
              <w:ind w:firstLine="480" w:firstLineChars="200"/>
              <w:jc w:val="left"/>
              <w:rPr>
                <w:rFonts w:hint="eastAsia" w:ascii="宋体" w:hAnsi="宋体" w:cs="宋体"/>
                <w:bCs/>
                <w:sz w:val="24"/>
              </w:rPr>
            </w:pPr>
            <w:r>
              <w:rPr>
                <w:rFonts w:hint="eastAsia" w:ascii="宋体" w:hAnsi="宋体" w:cs="宋体"/>
                <w:bCs/>
                <w:sz w:val="24"/>
              </w:rPr>
              <w:t>储存环真空系统共计20个单元，真空阀门联锁保护系统划分为4个区，部署在4个真空本地站，真空本地站EC02控制4个单元，真空本地站EC04控制6个单元，真空本地站EC07、EC09各控制5个本地站；每个区至少控制40个冷规、16个气动插板阀和16个手动插板阀；每个区之间通过线缆连接，实现相关信号交互；每个区安装1台真空阀门联锁保护控制机柜，控制该区域的真空设备。由于每个区的设备数量相差不大，因此PLC控制机柜的硬件设计为相同结构，以利于设备的维护。真空阀门联锁保护系统遵循EPICS分布式控制系统规范， PLC模块采集真空阀门和真空规状态信号， EPICS IOC 模块将PLC变量转换为EPICS PV。</w:t>
            </w:r>
          </w:p>
          <w:p w14:paraId="6599711B">
            <w:pPr>
              <w:tabs>
                <w:tab w:val="left" w:pos="6915"/>
              </w:tabs>
              <w:jc w:val="left"/>
              <w:rPr>
                <w:rFonts w:hint="eastAsia" w:ascii="宋体" w:hAnsi="宋体" w:cs="宋体"/>
                <w:b/>
                <w:sz w:val="24"/>
              </w:rPr>
            </w:pPr>
            <w:r>
              <w:rPr>
                <w:rFonts w:hint="eastAsia" w:ascii="宋体" w:hAnsi="宋体" w:cs="宋体"/>
                <w:b/>
                <w:sz w:val="24"/>
              </w:rPr>
              <w:t>1.2 阀门联锁逻辑：</w:t>
            </w:r>
          </w:p>
          <w:p w14:paraId="4A94F592">
            <w:pPr>
              <w:tabs>
                <w:tab w:val="left" w:pos="6915"/>
              </w:tabs>
              <w:ind w:firstLine="480" w:firstLineChars="200"/>
              <w:jc w:val="left"/>
              <w:rPr>
                <w:rFonts w:hint="eastAsia" w:ascii="宋体" w:hAnsi="宋体" w:cs="宋体"/>
                <w:bCs/>
                <w:sz w:val="24"/>
              </w:rPr>
            </w:pPr>
            <w:r>
              <w:rPr>
                <w:rFonts w:hint="eastAsia" w:ascii="宋体" w:hAnsi="宋体" w:cs="宋体"/>
                <w:bCs/>
                <w:sz w:val="24"/>
              </w:rPr>
              <w:t>真空阀门的控制方式分为手动联锁模式和自动联锁模式。</w:t>
            </w:r>
          </w:p>
          <w:p w14:paraId="4F9DB6EF">
            <w:pPr>
              <w:tabs>
                <w:tab w:val="left" w:pos="6915"/>
              </w:tabs>
              <w:ind w:firstLine="480" w:firstLineChars="200"/>
              <w:jc w:val="left"/>
              <w:rPr>
                <w:rFonts w:hint="eastAsia" w:ascii="宋体" w:hAnsi="宋体" w:cs="宋体"/>
                <w:bCs/>
                <w:sz w:val="24"/>
              </w:rPr>
            </w:pPr>
            <w:r>
              <w:rPr>
                <w:rFonts w:hint="eastAsia" w:ascii="宋体" w:hAnsi="宋体" w:cs="宋体"/>
                <w:bCs/>
                <w:sz w:val="24"/>
              </w:rPr>
              <w:t>在手动联锁模式下可以操作真空阀门（打开或者关闭），关闭阀门不需要额外条件；而对于打开阀门，需要该阀门两侧均为高真空，或者都为大气压，否则禁止打开。</w:t>
            </w:r>
          </w:p>
          <w:p w14:paraId="707FC0F1">
            <w:pPr>
              <w:tabs>
                <w:tab w:val="left" w:pos="6915"/>
              </w:tabs>
              <w:jc w:val="left"/>
              <w:rPr>
                <w:rFonts w:hint="eastAsia" w:ascii="宋体" w:hAnsi="宋体" w:cs="宋体"/>
                <w:bCs/>
                <w:sz w:val="24"/>
              </w:rPr>
            </w:pPr>
            <w:r>
              <w:rPr>
                <w:rFonts w:hint="eastAsia" w:ascii="宋体" w:hAnsi="宋体" w:cs="宋体"/>
                <w:bCs/>
                <w:sz w:val="24"/>
              </w:rPr>
              <w:t>在自动联锁模式下，当真空变坏时会根据一定的联锁逻辑自动关闭相应阀门，隔离该区段，以防真空泄露区域扩大。加速器正常运行时，真空控制系统必须工作在联锁模式下。联锁信号使用真空规输出的阈值继电器信号，当某区段真空规的测量值大于设定阈值时，真空规上对应的继电器开闭状态会发生转变。根据阀门的安全等级的区别，被联锁的阀门分为非高频区阀门和高频区的阀门。</w:t>
            </w:r>
          </w:p>
          <w:p w14:paraId="7019E0BF">
            <w:pPr>
              <w:tabs>
                <w:tab w:val="left" w:pos="6915"/>
              </w:tabs>
              <w:ind w:firstLine="480" w:firstLineChars="200"/>
              <w:jc w:val="left"/>
              <w:rPr>
                <w:rFonts w:hint="eastAsia" w:ascii="宋体" w:hAnsi="宋体" w:cs="宋体"/>
                <w:bCs/>
                <w:sz w:val="24"/>
              </w:rPr>
            </w:pPr>
            <w:r>
              <w:rPr>
                <w:rFonts w:hint="eastAsia" w:ascii="宋体" w:hAnsi="宋体" w:cs="宋体"/>
                <w:bCs/>
                <w:sz w:val="24"/>
              </w:rPr>
              <w:t>对于非高频区的阀门，阀门两侧的真空规测得的压力同时大于阈值时（0）关闭该阀门，并同时关闭相临的上下游的两个阀门，共计三个阀门。</w:t>
            </w:r>
          </w:p>
          <w:p w14:paraId="176D41E5">
            <w:pPr>
              <w:tabs>
                <w:tab w:val="left" w:pos="6915"/>
              </w:tabs>
              <w:ind w:firstLine="480" w:firstLineChars="200"/>
              <w:jc w:val="left"/>
              <w:rPr>
                <w:rFonts w:hint="eastAsia" w:ascii="宋体" w:hAnsi="宋体" w:cs="宋体"/>
                <w:bCs/>
                <w:sz w:val="24"/>
              </w:rPr>
            </w:pPr>
            <w:r>
              <w:rPr>
                <w:rFonts w:hint="eastAsia" w:ascii="宋体" w:hAnsi="宋体" w:cs="宋体"/>
                <w:bCs/>
                <w:sz w:val="24"/>
              </w:rPr>
              <w:t>对于高频区的真空阀门，当上下游和高频区，三个区束流线上的任意一个真空规测得的压力大于阈值时（0），自动关闭该区段和上下游的阀门，共计六个阀门，最大程度满足高频超导系统对高真空的极致安全要求。具体的逻辑示意图如下：</w:t>
            </w:r>
          </w:p>
          <w:p w14:paraId="00362A3F">
            <w:pPr>
              <w:tabs>
                <w:tab w:val="left" w:pos="6915"/>
              </w:tabs>
              <w:jc w:val="center"/>
              <w:rPr>
                <w:rFonts w:hint="eastAsia" w:ascii="宋体" w:hAnsi="宋体" w:cs="宋体"/>
                <w:bCs/>
                <w:sz w:val="24"/>
              </w:rPr>
            </w:pPr>
            <w:r>
              <w:rPr>
                <w:rFonts w:hint="eastAsia" w:ascii="宋体" w:hAnsi="宋体" w:cs="宋体"/>
                <w:bCs/>
                <w:sz w:val="24"/>
              </w:rPr>
              <w:drawing>
                <wp:inline distT="0" distB="0" distL="0" distR="0">
                  <wp:extent cx="3475355" cy="1926590"/>
                  <wp:effectExtent l="0" t="0" r="10795" b="16510"/>
                  <wp:docPr id="2916794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679427"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3475355" cy="1926590"/>
                          </a:xfrm>
                          <a:prstGeom prst="rect">
                            <a:avLst/>
                          </a:prstGeom>
                          <a:noFill/>
                        </pic:spPr>
                      </pic:pic>
                    </a:graphicData>
                  </a:graphic>
                </wp:inline>
              </w:drawing>
            </w:r>
          </w:p>
          <w:p w14:paraId="7889F35C">
            <w:pPr>
              <w:tabs>
                <w:tab w:val="left" w:pos="6915"/>
              </w:tabs>
              <w:jc w:val="center"/>
              <w:rPr>
                <w:rFonts w:hint="eastAsia" w:ascii="宋体" w:hAnsi="宋体" w:cs="宋体"/>
                <w:bCs/>
                <w:sz w:val="24"/>
              </w:rPr>
            </w:pPr>
            <w:r>
              <w:rPr>
                <w:rFonts w:hint="eastAsia" w:ascii="宋体" w:hAnsi="宋体" w:cs="宋体"/>
                <w:bCs/>
                <w:sz w:val="24"/>
              </w:rPr>
              <w:t>图1 真空阀门联锁保护逻辑示意图</w:t>
            </w:r>
          </w:p>
          <w:p w14:paraId="020BBBD6">
            <w:pPr>
              <w:tabs>
                <w:tab w:val="left" w:pos="6915"/>
              </w:tabs>
              <w:rPr>
                <w:rFonts w:hint="eastAsia" w:ascii="宋体" w:hAnsi="宋体" w:cs="宋体"/>
                <w:b/>
                <w:sz w:val="24"/>
              </w:rPr>
            </w:pPr>
            <w:r>
              <w:rPr>
                <w:rFonts w:hint="eastAsia" w:ascii="宋体" w:hAnsi="宋体" w:cs="宋体"/>
                <w:b/>
                <w:sz w:val="24"/>
              </w:rPr>
              <w:t>1.3 PLC联锁具体逻辑：</w:t>
            </w:r>
          </w:p>
          <w:p w14:paraId="0454EE41">
            <w:pPr>
              <w:tabs>
                <w:tab w:val="left" w:pos="6915"/>
              </w:tabs>
              <w:ind w:firstLine="480" w:firstLineChars="200"/>
              <w:rPr>
                <w:rFonts w:hint="eastAsia" w:ascii="宋体" w:hAnsi="宋体" w:cs="宋体"/>
                <w:bCs/>
                <w:sz w:val="24"/>
              </w:rPr>
            </w:pPr>
            <w:r>
              <w:rPr>
                <w:rFonts w:hint="eastAsia" w:ascii="宋体" w:hAnsi="宋体" w:cs="宋体"/>
                <w:bCs/>
                <w:sz w:val="24"/>
              </w:rPr>
              <w:t>真空系统分为20个相同的单元，每个单元分为长直线节、上半弧区、下半弧区、长直线节引光区和中直线节引光区。其中长直线节两个真空规：LSn-CCG01和LSn-CCG02；上半弧区一个真空规：RCn-CCG01;下半弧区一个真空规：RCn-CCG02；长直线节引光区一个真空规:LBLn-CCG01和中直线节引光区一个真空规:MBLn-CCG01。真空阀门为长直线节两个气动插板阀：LSn-PGV01和LSn-PGV02；长直线节引光区一个手动插板阀:LBLn-MGV01和中直线节引光区一个手动插板阀: MBLn-MGV01，具体布局如下：</w:t>
            </w:r>
          </w:p>
          <w:p w14:paraId="7476229C">
            <w:pPr>
              <w:tabs>
                <w:tab w:val="left" w:pos="6915"/>
              </w:tabs>
              <w:jc w:val="center"/>
              <w:rPr>
                <w:rFonts w:hint="eastAsia" w:ascii="宋体" w:hAnsi="宋体" w:cs="宋体"/>
                <w:bCs/>
                <w:sz w:val="24"/>
              </w:rPr>
            </w:pPr>
            <w:r>
              <w:drawing>
                <wp:inline distT="0" distB="0" distL="0" distR="0">
                  <wp:extent cx="3486150" cy="1087755"/>
                  <wp:effectExtent l="0" t="0" r="0" b="17145"/>
                  <wp:docPr id="10089326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932646"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3486150" cy="1087755"/>
                          </a:xfrm>
                          <a:prstGeom prst="rect">
                            <a:avLst/>
                          </a:prstGeom>
                          <a:noFill/>
                          <a:ln>
                            <a:noFill/>
                          </a:ln>
                        </pic:spPr>
                      </pic:pic>
                    </a:graphicData>
                  </a:graphic>
                </wp:inline>
              </w:drawing>
            </w:r>
          </w:p>
          <w:p w14:paraId="5A9B96B8">
            <w:pPr>
              <w:tabs>
                <w:tab w:val="left" w:pos="6915"/>
              </w:tabs>
              <w:jc w:val="center"/>
              <w:rPr>
                <w:rFonts w:hint="eastAsia" w:ascii="宋体" w:hAnsi="宋体" w:cs="宋体"/>
                <w:bCs/>
                <w:sz w:val="24"/>
              </w:rPr>
            </w:pPr>
            <w:r>
              <w:rPr>
                <w:rFonts w:hint="eastAsia" w:ascii="宋体" w:hAnsi="宋体" w:cs="宋体"/>
                <w:bCs/>
                <w:sz w:val="24"/>
              </w:rPr>
              <w:t>图2 单元真空阀门和真空规的布局示意图</w:t>
            </w:r>
          </w:p>
          <w:p w14:paraId="6ACD04F6">
            <w:pPr>
              <w:tabs>
                <w:tab w:val="left" w:pos="6915"/>
              </w:tabs>
              <w:jc w:val="center"/>
              <w:rPr>
                <w:rFonts w:hint="eastAsia" w:ascii="宋体" w:hAnsi="宋体" w:cs="宋体"/>
                <w:bCs/>
                <w:sz w:val="24"/>
              </w:rPr>
            </w:pPr>
          </w:p>
          <w:p w14:paraId="1DF1EE0F">
            <w:pPr>
              <w:tabs>
                <w:tab w:val="left" w:pos="6915"/>
              </w:tabs>
              <w:ind w:firstLine="480" w:firstLineChars="200"/>
              <w:rPr>
                <w:rFonts w:hint="eastAsia" w:ascii="宋体" w:hAnsi="宋体" w:cs="宋体"/>
                <w:bCs/>
                <w:sz w:val="24"/>
              </w:rPr>
            </w:pPr>
            <w:r>
              <w:rPr>
                <w:rFonts w:hint="eastAsia" w:ascii="宋体" w:hAnsi="宋体" w:cs="宋体"/>
                <w:bCs/>
                <w:sz w:val="24"/>
              </w:rPr>
              <w:t>真空规LSn-CCG01、LSn-CCG02、RCn-CCG01、RCn-CCG02、LBLn-CCG01、MBLn-CCG01，在真空规上均有两路0/1报警信号输出，其联锁保护阈值设定为1E-5Pa（根据调束的流强动态调整），联锁信号使用真空规输出的阈值继电器信号，当真空规实际测量的真空优于设定阈值，对应的继电器信号为1（通）；反之为0（断），断电也为0。</w:t>
            </w:r>
          </w:p>
          <w:p w14:paraId="7548AAB5">
            <w:pPr>
              <w:tabs>
                <w:tab w:val="left" w:pos="6915"/>
              </w:tabs>
              <w:rPr>
                <w:rFonts w:hint="eastAsia" w:ascii="宋体" w:hAnsi="宋体" w:cs="宋体"/>
                <w:bCs/>
                <w:sz w:val="24"/>
              </w:rPr>
            </w:pPr>
            <w:r>
              <w:rPr>
                <w:rFonts w:hint="eastAsia" w:ascii="宋体" w:hAnsi="宋体" w:cs="宋体"/>
                <w:bCs/>
                <w:sz w:val="24"/>
              </w:rPr>
              <w:t>真空阀门LSn-PGV01和LSn-PGV02为气动插板阀，每个阀门含两路位置指示，分别为阀门开到位指示和阀门关闭到位指示，和一路DV24V电源驱动回路，供电阀门打开，不供电阀门关闭。真空阀门LBLn-MGV01和MBLn-MGV01为手动插板阀，每个阀门只含位置指示。</w:t>
            </w:r>
          </w:p>
          <w:p w14:paraId="2343C578">
            <w:pPr>
              <w:tabs>
                <w:tab w:val="left" w:pos="6915"/>
              </w:tabs>
              <w:rPr>
                <w:rFonts w:hint="eastAsia" w:ascii="宋体" w:hAnsi="宋体" w:cs="宋体"/>
                <w:b/>
                <w:sz w:val="24"/>
              </w:rPr>
            </w:pPr>
            <w:r>
              <w:rPr>
                <w:rFonts w:hint="eastAsia" w:ascii="宋体" w:hAnsi="宋体" w:cs="宋体"/>
                <w:b/>
                <w:sz w:val="24"/>
              </w:rPr>
              <w:t>1.3.1 手动联锁控制逻辑：</w:t>
            </w:r>
          </w:p>
          <w:p w14:paraId="79FB4D1B">
            <w:pPr>
              <w:tabs>
                <w:tab w:val="left" w:pos="6915"/>
              </w:tabs>
              <w:ind w:firstLine="480" w:firstLineChars="200"/>
              <w:rPr>
                <w:rFonts w:hint="eastAsia" w:ascii="宋体" w:hAnsi="宋体" w:cs="宋体"/>
                <w:bCs/>
                <w:sz w:val="24"/>
              </w:rPr>
            </w:pPr>
            <w:r>
              <w:rPr>
                <w:rFonts w:hint="eastAsia" w:ascii="宋体" w:hAnsi="宋体" w:cs="宋体"/>
                <w:bCs/>
                <w:sz w:val="24"/>
              </w:rPr>
              <w:t>手动打开或关闭单元的气动插板阀LSn-PGV01和LSn-PGV02，遵循的保护逻辑如下：</w:t>
            </w:r>
          </w:p>
          <w:p w14:paraId="38C9EDB5">
            <w:pPr>
              <w:tabs>
                <w:tab w:val="left" w:pos="6915"/>
              </w:tabs>
              <w:ind w:firstLine="480" w:firstLineChars="200"/>
              <w:rPr>
                <w:rFonts w:hint="eastAsia" w:ascii="宋体" w:hAnsi="宋体" w:cs="宋体"/>
                <w:bCs/>
                <w:sz w:val="24"/>
              </w:rPr>
            </w:pPr>
            <w:r>
              <w:rPr>
                <w:rFonts w:hint="eastAsia" w:ascii="宋体" w:hAnsi="宋体" w:cs="宋体"/>
                <w:bCs/>
                <w:sz w:val="24"/>
              </w:rPr>
              <w:t>a) 当LSn-CCG01&amp;RC(n-1)-CCG02同时为1时候（即两端真空均为超高真空），LSn-PGV01可以开启，反之则不被允许。</w:t>
            </w:r>
          </w:p>
          <w:p w14:paraId="35B11DFC">
            <w:pPr>
              <w:tabs>
                <w:tab w:val="left" w:pos="6915"/>
              </w:tabs>
              <w:ind w:firstLine="480" w:firstLineChars="200"/>
              <w:rPr>
                <w:rFonts w:hint="eastAsia" w:ascii="宋体" w:hAnsi="宋体" w:cs="宋体"/>
                <w:bCs/>
                <w:sz w:val="24"/>
              </w:rPr>
            </w:pPr>
            <w:r>
              <w:rPr>
                <w:rFonts w:hint="eastAsia" w:ascii="宋体" w:hAnsi="宋体" w:cs="宋体"/>
                <w:bCs/>
                <w:sz w:val="24"/>
              </w:rPr>
              <w:t>b) 当LSn-CCG02&amp;RCn-CCG01同时为1时候（即两端真空均为超高真空），LSn-PGV02可以开启，反之则不被允许。</w:t>
            </w:r>
          </w:p>
          <w:p w14:paraId="66D80F3B">
            <w:pPr>
              <w:tabs>
                <w:tab w:val="left" w:pos="6915"/>
              </w:tabs>
              <w:rPr>
                <w:rFonts w:hint="eastAsia" w:ascii="宋体" w:hAnsi="宋体" w:cs="宋体"/>
                <w:b/>
                <w:sz w:val="24"/>
              </w:rPr>
            </w:pPr>
            <w:r>
              <w:rPr>
                <w:rFonts w:hint="eastAsia" w:ascii="宋体" w:hAnsi="宋体" w:cs="宋体"/>
                <w:b/>
                <w:sz w:val="24"/>
              </w:rPr>
              <w:t>1.3.2 自动联锁保护逻辑（非高频区）：</w:t>
            </w:r>
          </w:p>
          <w:p w14:paraId="09CD3D9A">
            <w:pPr>
              <w:tabs>
                <w:tab w:val="left" w:pos="6915"/>
              </w:tabs>
              <w:ind w:firstLine="480" w:firstLineChars="200"/>
              <w:rPr>
                <w:rFonts w:hint="eastAsia" w:ascii="宋体" w:hAnsi="宋体" w:cs="宋体"/>
                <w:bCs/>
                <w:sz w:val="24"/>
              </w:rPr>
            </w:pPr>
            <w:r>
              <w:rPr>
                <w:rFonts w:hint="eastAsia" w:ascii="宋体" w:hAnsi="宋体" w:cs="宋体"/>
                <w:bCs/>
                <w:sz w:val="24"/>
              </w:rPr>
              <w:t>非高频区，自动联锁保护状态下，其联锁逻辑如下：</w:t>
            </w:r>
          </w:p>
          <w:p w14:paraId="21C0F764">
            <w:pPr>
              <w:tabs>
                <w:tab w:val="left" w:pos="6915"/>
              </w:tabs>
              <w:ind w:firstLine="480" w:firstLineChars="200"/>
              <w:rPr>
                <w:rFonts w:hint="eastAsia" w:ascii="宋体" w:hAnsi="宋体" w:cs="宋体"/>
                <w:bCs/>
                <w:sz w:val="24"/>
              </w:rPr>
            </w:pPr>
            <w:r>
              <w:rPr>
                <w:rFonts w:hint="eastAsia" w:ascii="宋体" w:hAnsi="宋体" w:cs="宋体"/>
                <w:bCs/>
                <w:sz w:val="24"/>
              </w:rPr>
              <w:t>a) 当LSn-CCG01&amp;RC(n-1)-CCG02同时为0时候，LSn-PGV01及相邻两个阀门（LSn-PGV02、LS(n-1)-PGV02）被关闭。</w:t>
            </w:r>
          </w:p>
          <w:p w14:paraId="02DF84E2">
            <w:pPr>
              <w:tabs>
                <w:tab w:val="left" w:pos="6915"/>
              </w:tabs>
              <w:ind w:firstLine="480" w:firstLineChars="200"/>
              <w:rPr>
                <w:rFonts w:hint="eastAsia" w:ascii="宋体" w:hAnsi="宋体" w:cs="宋体"/>
                <w:bCs/>
                <w:sz w:val="24"/>
              </w:rPr>
            </w:pPr>
            <w:r>
              <w:rPr>
                <w:rFonts w:hint="eastAsia" w:ascii="宋体" w:hAnsi="宋体" w:cs="宋体"/>
                <w:bCs/>
                <w:sz w:val="24"/>
              </w:rPr>
              <w:t>b) 当LSn-CCG02&amp;RCn-CCG01同时0时候，LSn-PGV02及相邻两个阀门（LSn-PGV01、LS(n+1)-PGV01）被关闭。</w:t>
            </w:r>
          </w:p>
          <w:p w14:paraId="53F98580">
            <w:pPr>
              <w:tabs>
                <w:tab w:val="left" w:pos="6915"/>
              </w:tabs>
              <w:rPr>
                <w:rFonts w:hint="eastAsia" w:ascii="宋体" w:hAnsi="宋体" w:cs="宋体"/>
                <w:bCs/>
                <w:sz w:val="24"/>
              </w:rPr>
            </w:pPr>
            <w:r>
              <w:rPr>
                <w:rFonts w:hint="eastAsia" w:ascii="宋体" w:hAnsi="宋体" w:cs="宋体"/>
                <w:bCs/>
                <w:sz w:val="24"/>
              </w:rPr>
              <w:t>c) 阀门关闭的同时，给机器联锁保护系统（MPS）对应的信号。</w:t>
            </w:r>
          </w:p>
          <w:p w14:paraId="26837092">
            <w:pPr>
              <w:tabs>
                <w:tab w:val="left" w:pos="6915"/>
              </w:tabs>
              <w:rPr>
                <w:rFonts w:hint="eastAsia" w:ascii="宋体" w:hAnsi="宋体" w:cs="宋体"/>
                <w:b/>
                <w:sz w:val="24"/>
              </w:rPr>
            </w:pPr>
            <w:r>
              <w:rPr>
                <w:rFonts w:hint="eastAsia" w:ascii="宋体" w:hAnsi="宋体" w:cs="宋体"/>
                <w:b/>
                <w:sz w:val="24"/>
              </w:rPr>
              <w:t>1.3.3自动联锁保护逻辑（高频区）：</w:t>
            </w:r>
          </w:p>
          <w:p w14:paraId="32468BFE">
            <w:pPr>
              <w:tabs>
                <w:tab w:val="left" w:pos="6915"/>
              </w:tabs>
              <w:ind w:firstLine="480" w:firstLineChars="200"/>
              <w:rPr>
                <w:rFonts w:hint="eastAsia" w:ascii="宋体" w:hAnsi="宋体" w:cs="宋体"/>
                <w:bCs/>
                <w:sz w:val="24"/>
              </w:rPr>
            </w:pPr>
            <w:r>
              <w:rPr>
                <w:rFonts w:hint="eastAsia" w:ascii="宋体" w:hAnsi="宋体" w:cs="宋体"/>
                <w:bCs/>
                <w:sz w:val="24"/>
              </w:rPr>
              <w:t>对于高频区的真空阀门，上游或者下游束流线上任意一个真空规测得的真空压力大于阈值时，自动关闭该区段和上下区段的阀门，最大程度满足高频系统对高真空的要求。储存环的两个超导高频腔均位于07cell，其真空阀门和真空规的布局如下图：</w:t>
            </w:r>
          </w:p>
          <w:p w14:paraId="28190D98">
            <w:pPr>
              <w:tabs>
                <w:tab w:val="left" w:pos="6915"/>
              </w:tabs>
              <w:rPr>
                <w:rFonts w:hint="eastAsia" w:ascii="宋体" w:hAnsi="宋体" w:cs="宋体"/>
                <w:bCs/>
                <w:sz w:val="24"/>
              </w:rPr>
            </w:pPr>
            <w:r>
              <w:drawing>
                <wp:inline distT="0" distB="0" distL="0" distR="0">
                  <wp:extent cx="3642360" cy="1343025"/>
                  <wp:effectExtent l="0" t="0" r="15240" b="9525"/>
                  <wp:docPr id="141949444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494446" name="图片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42360" cy="1343025"/>
                          </a:xfrm>
                          <a:prstGeom prst="rect">
                            <a:avLst/>
                          </a:prstGeom>
                          <a:noFill/>
                          <a:ln>
                            <a:noFill/>
                          </a:ln>
                        </pic:spPr>
                      </pic:pic>
                    </a:graphicData>
                  </a:graphic>
                </wp:inline>
              </w:drawing>
            </w:r>
          </w:p>
          <w:p w14:paraId="1C0B488C">
            <w:pPr>
              <w:jc w:val="center"/>
            </w:pPr>
            <w:r>
              <w:rPr>
                <w:rFonts w:hint="eastAsia"/>
              </w:rPr>
              <w:t>图3 07CELL 真空阀门&amp;真空规布局图</w:t>
            </w:r>
          </w:p>
          <w:p w14:paraId="0230BEFD">
            <w:pPr>
              <w:tabs>
                <w:tab w:val="left" w:pos="6915"/>
              </w:tabs>
              <w:ind w:firstLine="480" w:firstLineChars="200"/>
              <w:rPr>
                <w:rFonts w:hint="eastAsia" w:ascii="宋体" w:hAnsi="宋体" w:cs="宋体"/>
                <w:bCs/>
                <w:sz w:val="24"/>
              </w:rPr>
            </w:pPr>
            <w:r>
              <w:rPr>
                <w:rFonts w:hint="eastAsia" w:ascii="宋体" w:hAnsi="宋体" w:cs="宋体"/>
                <w:bCs/>
                <w:sz w:val="24"/>
              </w:rPr>
              <w:t>为了最大程度满足高频系统对高真空的要求，07单元的上游或者下游任意一个真空规超过阈值（LS06-CCG01、LS06-CCG02、RC06-CCG01、RC06-CCG02、LS07-CCG01、LS07-CCG02、RC07-CCG01、RC07-CCG02、LS08-CCG01、LS08-CCG02、RC08-CCG01、RC08-CCG02），06、07和08单元的真空系统的阀门LS06-PGV01、LS06-PGV02、LS07-PGV01、LS07-PGV02、LS08-PGV01和LS08-PGV02均同时关闭；并给高频系统给出信号，利于SC-LS07-VALV1、SC-LS07-VALV2、MS07-PGV01和MS07-PGV02的控制；并给阀门关闭的同时，给机器联锁保护系统（MPS）对应的信号。</w:t>
            </w:r>
          </w:p>
          <w:p w14:paraId="231B9C46">
            <w:pPr>
              <w:tabs>
                <w:tab w:val="left" w:pos="6915"/>
              </w:tabs>
              <w:rPr>
                <w:rFonts w:hint="eastAsia" w:ascii="宋体" w:hAnsi="宋体" w:cs="宋体"/>
                <w:b/>
                <w:sz w:val="24"/>
              </w:rPr>
            </w:pPr>
            <w:r>
              <w:rPr>
                <w:rFonts w:hint="eastAsia" w:ascii="宋体" w:hAnsi="宋体" w:cs="宋体"/>
                <w:b/>
                <w:sz w:val="24"/>
              </w:rPr>
              <w:t>1.3.4自动联锁状态下真空阀门联锁保护和机器保护系统（MPS）的关系</w:t>
            </w:r>
          </w:p>
          <w:p w14:paraId="7546E1EB">
            <w:pPr>
              <w:tabs>
                <w:tab w:val="left" w:pos="6915"/>
              </w:tabs>
              <w:ind w:firstLine="480" w:firstLineChars="200"/>
              <w:rPr>
                <w:rFonts w:hint="eastAsia" w:ascii="宋体" w:hAnsi="宋体" w:cs="宋体"/>
                <w:bCs/>
                <w:sz w:val="24"/>
              </w:rPr>
            </w:pPr>
            <w:r>
              <w:rPr>
                <w:rFonts w:hint="eastAsia" w:ascii="宋体" w:hAnsi="宋体" w:cs="宋体"/>
                <w:bCs/>
                <w:sz w:val="24"/>
              </w:rPr>
              <w:t>真空阀门联锁保护和机器保护系统（MPS）的关系具体如下：</w:t>
            </w:r>
          </w:p>
          <w:p w14:paraId="3B55EB48">
            <w:pPr>
              <w:tabs>
                <w:tab w:val="left" w:pos="6915"/>
              </w:tabs>
              <w:ind w:firstLine="480" w:firstLineChars="200"/>
              <w:rPr>
                <w:rFonts w:hint="eastAsia" w:ascii="宋体" w:hAnsi="宋体" w:cs="宋体"/>
                <w:bCs/>
                <w:sz w:val="24"/>
              </w:rPr>
            </w:pPr>
            <w:r>
              <w:rPr>
                <w:rFonts w:hint="eastAsia" w:ascii="宋体" w:hAnsi="宋体" w:cs="宋体"/>
                <w:bCs/>
                <w:sz w:val="24"/>
              </w:rPr>
              <w:t>1：自动联锁保护状态下，4个本地站的任意一个真空阀门，根据联锁逻辑需要关闭的时候，PLC在发信号让阀门关闭的同时发同步信号给MPS保护系统，4个本地站，共计四路信号。</w:t>
            </w:r>
          </w:p>
          <w:p w14:paraId="17AFDC89">
            <w:pPr>
              <w:tabs>
                <w:tab w:val="left" w:pos="6915"/>
              </w:tabs>
              <w:ind w:firstLine="480" w:firstLineChars="200"/>
              <w:rPr>
                <w:rFonts w:hint="eastAsia" w:ascii="宋体" w:hAnsi="宋体" w:cs="宋体"/>
                <w:bCs/>
                <w:sz w:val="24"/>
              </w:rPr>
            </w:pPr>
            <w:r>
              <w:rPr>
                <w:rFonts w:hint="eastAsia" w:ascii="宋体" w:hAnsi="宋体" w:cs="宋体"/>
                <w:bCs/>
                <w:sz w:val="24"/>
              </w:rPr>
              <w:t>2：自动联锁保护状态下，4个本地站的收到MPS保护系统需要关闭所在区的真空阀门信号，立即关闭所在区的所有阀门。</w:t>
            </w:r>
          </w:p>
          <w:p w14:paraId="40829F26">
            <w:pPr>
              <w:tabs>
                <w:tab w:val="left" w:pos="6915"/>
              </w:tabs>
              <w:ind w:firstLine="480" w:firstLineChars="200"/>
              <w:rPr>
                <w:rFonts w:hint="eastAsia" w:ascii="宋体" w:hAnsi="宋体" w:cs="宋体"/>
                <w:bCs/>
                <w:sz w:val="24"/>
              </w:rPr>
            </w:pPr>
            <w:r>
              <w:rPr>
                <w:rFonts w:hint="eastAsia" w:ascii="宋体" w:hAnsi="宋体" w:cs="宋体"/>
                <w:bCs/>
                <w:sz w:val="24"/>
              </w:rPr>
              <w:t>3：联锁保护的同时，阀门和真空规的0/1状态信息量都需要同时转换为EPICS PV，写入相关数据库。</w:t>
            </w:r>
          </w:p>
          <w:p w14:paraId="50B6636C">
            <w:pPr>
              <w:tabs>
                <w:tab w:val="left" w:pos="6915"/>
              </w:tabs>
              <w:rPr>
                <w:rFonts w:hint="eastAsia" w:ascii="宋体" w:hAnsi="宋体" w:cs="宋体"/>
                <w:b/>
                <w:sz w:val="24"/>
              </w:rPr>
            </w:pPr>
            <w:r>
              <w:rPr>
                <w:rFonts w:hint="eastAsia" w:ascii="宋体" w:hAnsi="宋体" w:cs="宋体"/>
                <w:b/>
                <w:sz w:val="24"/>
              </w:rPr>
              <w:t>2. 硬件要求</w:t>
            </w:r>
          </w:p>
          <w:p w14:paraId="6D1289D8">
            <w:pPr>
              <w:tabs>
                <w:tab w:val="left" w:pos="6915"/>
              </w:tabs>
              <w:rPr>
                <w:rFonts w:hint="eastAsia" w:ascii="宋体" w:hAnsi="宋体" w:cs="宋体"/>
                <w:b/>
                <w:sz w:val="24"/>
              </w:rPr>
            </w:pPr>
            <w:r>
              <w:rPr>
                <w:rFonts w:hint="eastAsia" w:ascii="宋体" w:hAnsi="宋体" w:cs="宋体"/>
                <w:b/>
                <w:sz w:val="24"/>
              </w:rPr>
              <w:t>2.1系统硬件要求:</w:t>
            </w:r>
          </w:p>
          <w:p w14:paraId="7B3F0A31">
            <w:pPr>
              <w:tabs>
                <w:tab w:val="left" w:pos="6915"/>
              </w:tabs>
              <w:ind w:firstLine="480" w:firstLineChars="200"/>
              <w:rPr>
                <w:rFonts w:hint="eastAsia" w:ascii="宋体" w:hAnsi="宋体" w:cs="宋体"/>
                <w:bCs/>
                <w:sz w:val="24"/>
              </w:rPr>
            </w:pPr>
            <w:r>
              <w:rPr>
                <w:rFonts w:hint="eastAsia" w:ascii="宋体" w:hAnsi="宋体" w:cs="宋体"/>
                <w:bCs/>
                <w:sz w:val="24"/>
              </w:rPr>
              <w:t>真空阀门联锁保护系统含4个联锁保护子系统，每个真空本地站布置1个子系统，4个子系统形成一个闭环网络。每个联锁保护子系统的PLC可控制40个真空规（冷规）、16个气动插板阀和16个手动插板阀，具备128路输入，32路输出，共计4个联锁保护子系统，每个机柜硬件要求如下：</w:t>
            </w:r>
          </w:p>
          <w:p w14:paraId="1423BD68">
            <w:pPr>
              <w:tabs>
                <w:tab w:val="left" w:pos="6915"/>
              </w:tabs>
              <w:jc w:val="center"/>
              <w:rPr>
                <w:rFonts w:hint="eastAsia" w:ascii="宋体" w:hAnsi="宋体" w:cs="宋体"/>
                <w:bCs/>
                <w:sz w:val="24"/>
              </w:rPr>
            </w:pPr>
            <w:r>
              <w:rPr>
                <w:rFonts w:hint="eastAsia" w:ascii="宋体" w:hAnsi="宋体" w:cs="宋体"/>
                <w:bCs/>
                <w:sz w:val="24"/>
              </w:rPr>
              <w:t>表1 真空阀门联锁保护子系统硬件技术要求</w:t>
            </w:r>
          </w:p>
          <w:tbl>
            <w:tblPr>
              <w:tblStyle w:val="6"/>
              <w:tblW w:w="4747" w:type="pct"/>
              <w:tblInd w:w="250" w:type="dxa"/>
              <w:tblLayout w:type="fixed"/>
              <w:tblCellMar>
                <w:top w:w="0" w:type="dxa"/>
                <w:left w:w="108" w:type="dxa"/>
                <w:bottom w:w="0" w:type="dxa"/>
                <w:right w:w="108" w:type="dxa"/>
              </w:tblCellMar>
            </w:tblPr>
            <w:tblGrid>
              <w:gridCol w:w="499"/>
              <w:gridCol w:w="997"/>
              <w:gridCol w:w="3987"/>
            </w:tblGrid>
            <w:tr w14:paraId="32C35122">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6CCEE389">
                  <w:pPr>
                    <w:widowControl/>
                    <w:jc w:val="center"/>
                    <w:textAlignment w:val="center"/>
                    <w:rPr>
                      <w:rFonts w:hint="eastAsia" w:ascii="仿宋" w:hAnsi="仿宋" w:eastAsia="仿宋" w:cs="宋体"/>
                      <w:kern w:val="0"/>
                      <w:sz w:val="24"/>
                      <w:lang w:bidi="ar"/>
                    </w:rPr>
                  </w:pPr>
                  <w:bookmarkStart w:id="0" w:name="OLE_LINK46"/>
                  <w:r>
                    <w:rPr>
                      <w:rFonts w:hint="eastAsia" w:ascii="仿宋" w:hAnsi="仿宋" w:eastAsia="仿宋" w:cs="宋体"/>
                      <w:kern w:val="0"/>
                      <w:sz w:val="24"/>
                      <w:lang w:bidi="ar"/>
                    </w:rPr>
                    <w:t>序号</w:t>
                  </w:r>
                </w:p>
              </w:tc>
              <w:tc>
                <w:tcPr>
                  <w:tcW w:w="909" w:type="pct"/>
                  <w:tcBorders>
                    <w:top w:val="single" w:color="auto" w:sz="4" w:space="0"/>
                    <w:left w:val="single" w:color="auto" w:sz="4" w:space="0"/>
                    <w:bottom w:val="single" w:color="auto" w:sz="4" w:space="0"/>
                    <w:right w:val="single" w:color="auto" w:sz="4" w:space="0"/>
                  </w:tcBorders>
                  <w:vAlign w:val="center"/>
                </w:tcPr>
                <w:p w14:paraId="57FBE678">
                  <w:pPr>
                    <w:widowControl/>
                    <w:jc w:val="center"/>
                    <w:textAlignment w:val="center"/>
                    <w:rPr>
                      <w:rFonts w:hint="eastAsia" w:ascii="仿宋" w:hAnsi="仿宋" w:eastAsia="仿宋" w:cs="宋体"/>
                      <w:kern w:val="0"/>
                      <w:sz w:val="24"/>
                      <w:lang w:bidi="ar"/>
                    </w:rPr>
                  </w:pPr>
                  <w:r>
                    <w:rPr>
                      <w:rFonts w:hint="eastAsia" w:ascii="仿宋" w:hAnsi="仿宋" w:eastAsia="仿宋" w:cs="宋体"/>
                      <w:kern w:val="0"/>
                      <w:sz w:val="24"/>
                      <w:lang w:bidi="ar"/>
                    </w:rPr>
                    <w:t>名称</w:t>
                  </w:r>
                </w:p>
              </w:tc>
              <w:tc>
                <w:tcPr>
                  <w:tcW w:w="3636" w:type="pct"/>
                  <w:tcBorders>
                    <w:top w:val="single" w:color="auto" w:sz="4" w:space="0"/>
                    <w:left w:val="single" w:color="auto" w:sz="4" w:space="0"/>
                    <w:bottom w:val="single" w:color="auto" w:sz="4" w:space="0"/>
                    <w:right w:val="single" w:color="auto" w:sz="4" w:space="0"/>
                  </w:tcBorders>
                  <w:vAlign w:val="center"/>
                </w:tcPr>
                <w:p w14:paraId="75C5726A">
                  <w:pPr>
                    <w:widowControl/>
                    <w:jc w:val="center"/>
                    <w:textAlignment w:val="center"/>
                    <w:rPr>
                      <w:rFonts w:hint="eastAsia" w:ascii="仿宋" w:hAnsi="仿宋" w:eastAsia="仿宋" w:cs="宋体"/>
                      <w:kern w:val="0"/>
                      <w:sz w:val="24"/>
                      <w:lang w:bidi="ar"/>
                    </w:rPr>
                  </w:pPr>
                  <w:r>
                    <w:rPr>
                      <w:rFonts w:hint="eastAsia" w:ascii="仿宋" w:hAnsi="仿宋" w:eastAsia="仿宋" w:cs="宋体"/>
                      <w:kern w:val="0"/>
                      <w:sz w:val="24"/>
                      <w:lang w:bidi="ar"/>
                    </w:rPr>
                    <w:t>技术规格要求</w:t>
                  </w:r>
                </w:p>
              </w:tc>
            </w:tr>
            <w:tr w14:paraId="3BBAC530">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0A0C4C50">
                  <w:pPr>
                    <w:widowControl/>
                    <w:jc w:val="center"/>
                    <w:textAlignment w:val="center"/>
                    <w:rPr>
                      <w:rFonts w:hint="eastAsia" w:ascii="仿宋" w:hAnsi="仿宋" w:eastAsia="仿宋" w:cs="宋体"/>
                      <w:kern w:val="0"/>
                      <w:sz w:val="24"/>
                      <w:lang w:bidi="ar"/>
                    </w:rPr>
                  </w:pPr>
                  <w:r>
                    <w:rPr>
                      <w:rFonts w:hint="eastAsia" w:ascii="仿宋" w:hAnsi="仿宋" w:eastAsia="仿宋" w:cs="宋体"/>
                      <w:kern w:val="0"/>
                      <w:sz w:val="24"/>
                      <w:lang w:bidi="ar"/>
                    </w:rPr>
                    <w:t>1</w:t>
                  </w:r>
                </w:p>
              </w:tc>
              <w:tc>
                <w:tcPr>
                  <w:tcW w:w="909" w:type="pct"/>
                  <w:tcBorders>
                    <w:top w:val="single" w:color="auto" w:sz="4" w:space="0"/>
                    <w:left w:val="single" w:color="auto" w:sz="4" w:space="0"/>
                    <w:bottom w:val="single" w:color="auto" w:sz="4" w:space="0"/>
                    <w:right w:val="single" w:color="auto" w:sz="4" w:space="0"/>
                  </w:tcBorders>
                  <w:vAlign w:val="center"/>
                </w:tcPr>
                <w:p w14:paraId="14D84D11">
                  <w:pPr>
                    <w:widowControl/>
                    <w:jc w:val="center"/>
                    <w:textAlignment w:val="center"/>
                    <w:rPr>
                      <w:rFonts w:hint="eastAsia" w:ascii="仿宋" w:hAnsi="仿宋" w:eastAsia="仿宋" w:cs="宋体"/>
                      <w:kern w:val="0"/>
                      <w:sz w:val="24"/>
                    </w:rPr>
                  </w:pPr>
                  <w:r>
                    <w:rPr>
                      <w:rFonts w:hint="eastAsia" w:ascii="仿宋" w:hAnsi="仿宋" w:eastAsia="仿宋" w:cs="仿宋"/>
                      <w:sz w:val="24"/>
                    </w:rPr>
                    <w:t>机柜</w:t>
                  </w:r>
                  <w:r>
                    <w:rPr>
                      <w:rFonts w:hint="eastAsia" w:ascii="仿宋" w:hAnsi="仿宋" w:eastAsia="仿宋" w:cs="宋体"/>
                      <w:kern w:val="0"/>
                      <w:sz w:val="24"/>
                      <w:lang w:bidi="ar"/>
                    </w:rPr>
                    <w:t>主体</w:t>
                  </w:r>
                </w:p>
              </w:tc>
              <w:tc>
                <w:tcPr>
                  <w:tcW w:w="3636" w:type="pct"/>
                  <w:tcBorders>
                    <w:top w:val="single" w:color="auto" w:sz="4" w:space="0"/>
                    <w:left w:val="single" w:color="auto" w:sz="4" w:space="0"/>
                    <w:bottom w:val="single" w:color="auto" w:sz="4" w:space="0"/>
                    <w:right w:val="single" w:color="auto" w:sz="4" w:space="0"/>
                  </w:tcBorders>
                  <w:vAlign w:val="center"/>
                </w:tcPr>
                <w:p w14:paraId="49113AE6">
                  <w:pPr>
                    <w:widowControl/>
                    <w:numPr>
                      <w:ilvl w:val="0"/>
                      <w:numId w:val="1"/>
                    </w:numPr>
                    <w:spacing w:line="312" w:lineRule="auto"/>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尺寸：长800</w:t>
                  </w:r>
                  <w:r>
                    <w:rPr>
                      <w:rFonts w:ascii="仿宋" w:hAnsi="仿宋" w:eastAsia="仿宋" w:cs="宋体"/>
                      <w:kern w:val="0"/>
                      <w:sz w:val="24"/>
                      <w:lang w:bidi="ar"/>
                    </w:rPr>
                    <w:t>mm</w:t>
                  </w:r>
                  <w:r>
                    <w:rPr>
                      <w:rFonts w:hint="eastAsia" w:ascii="仿宋" w:hAnsi="仿宋" w:eastAsia="仿宋" w:cs="宋体"/>
                      <w:kern w:val="0"/>
                      <w:sz w:val="24"/>
                      <w:lang w:bidi="ar"/>
                    </w:rPr>
                    <w:t>*宽800</w:t>
                  </w:r>
                  <w:r>
                    <w:rPr>
                      <w:rFonts w:ascii="仿宋" w:hAnsi="仿宋" w:eastAsia="仿宋" w:cs="宋体"/>
                      <w:kern w:val="0"/>
                      <w:sz w:val="24"/>
                      <w:lang w:bidi="ar"/>
                    </w:rPr>
                    <w:t>mm</w:t>
                  </w:r>
                  <w:r>
                    <w:rPr>
                      <w:rFonts w:hint="eastAsia" w:ascii="仿宋" w:hAnsi="仿宋" w:eastAsia="仿宋" w:cs="宋体"/>
                      <w:kern w:val="0"/>
                      <w:sz w:val="24"/>
                      <w:lang w:bidi="ar"/>
                    </w:rPr>
                    <w:t>*高2100</w:t>
                  </w:r>
                  <w:r>
                    <w:rPr>
                      <w:rFonts w:ascii="仿宋" w:hAnsi="仿宋" w:eastAsia="仿宋" w:cs="宋体"/>
                      <w:kern w:val="0"/>
                      <w:sz w:val="24"/>
                      <w:lang w:bidi="ar"/>
                    </w:rPr>
                    <w:t>mm</w:t>
                  </w:r>
                </w:p>
                <w:p w14:paraId="350D6C76">
                  <w:pPr>
                    <w:widowControl/>
                    <w:numPr>
                      <w:ilvl w:val="0"/>
                      <w:numId w:val="1"/>
                    </w:numPr>
                    <w:spacing w:line="312" w:lineRule="auto"/>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颜色：RAL7035。</w:t>
                  </w:r>
                </w:p>
                <w:p w14:paraId="5F06BBB7">
                  <w:pPr>
                    <w:widowControl/>
                    <w:numPr>
                      <w:ilvl w:val="0"/>
                      <w:numId w:val="1"/>
                    </w:numPr>
                    <w:spacing w:line="312" w:lineRule="auto"/>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板厚度：2毫米。</w:t>
                  </w:r>
                </w:p>
                <w:p w14:paraId="205C34F2">
                  <w:pPr>
                    <w:widowControl/>
                    <w:numPr>
                      <w:ilvl w:val="0"/>
                      <w:numId w:val="1"/>
                    </w:numPr>
                    <w:spacing w:line="312" w:lineRule="auto"/>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前后双开门，单门设计。</w:t>
                  </w:r>
                </w:p>
                <w:p w14:paraId="0C67FD1C">
                  <w:pPr>
                    <w:widowControl/>
                    <w:numPr>
                      <w:ilvl w:val="0"/>
                      <w:numId w:val="1"/>
                    </w:numPr>
                    <w:spacing w:line="312" w:lineRule="auto"/>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接地设计，接地柱可靠接地，接地柱直径6毫米。</w:t>
                  </w:r>
                </w:p>
                <w:p w14:paraId="0C65E2CF">
                  <w:pPr>
                    <w:widowControl/>
                    <w:numPr>
                      <w:ilvl w:val="0"/>
                      <w:numId w:val="1"/>
                    </w:numPr>
                    <w:spacing w:line="312" w:lineRule="auto"/>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安装滑动轮，吊环，支持滑动，吊装。</w:t>
                  </w:r>
                </w:p>
              </w:tc>
            </w:tr>
            <w:tr w14:paraId="12B70002">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072B9FCD">
                  <w:pPr>
                    <w:widowControl/>
                    <w:jc w:val="center"/>
                    <w:textAlignment w:val="center"/>
                    <w:rPr>
                      <w:rFonts w:hint="eastAsia" w:ascii="仿宋" w:hAnsi="仿宋" w:eastAsia="仿宋" w:cs="宋体"/>
                      <w:kern w:val="0"/>
                      <w:sz w:val="24"/>
                      <w:lang w:bidi="ar"/>
                    </w:rPr>
                  </w:pPr>
                  <w:r>
                    <w:rPr>
                      <w:rFonts w:hint="eastAsia" w:ascii="仿宋" w:hAnsi="仿宋" w:eastAsia="仿宋" w:cs="宋体"/>
                      <w:kern w:val="0"/>
                      <w:sz w:val="24"/>
                      <w:lang w:bidi="ar"/>
                    </w:rPr>
                    <w:t>2</w:t>
                  </w:r>
                </w:p>
              </w:tc>
              <w:tc>
                <w:tcPr>
                  <w:tcW w:w="909" w:type="pct"/>
                  <w:tcBorders>
                    <w:top w:val="single" w:color="auto" w:sz="4" w:space="0"/>
                    <w:left w:val="single" w:color="auto" w:sz="4" w:space="0"/>
                    <w:bottom w:val="single" w:color="auto" w:sz="4" w:space="0"/>
                    <w:right w:val="single" w:color="auto" w:sz="4" w:space="0"/>
                  </w:tcBorders>
                  <w:vAlign w:val="center"/>
                </w:tcPr>
                <w:p w14:paraId="2F9E3B63">
                  <w:pPr>
                    <w:widowControl/>
                    <w:jc w:val="center"/>
                    <w:textAlignment w:val="center"/>
                    <w:rPr>
                      <w:rFonts w:hint="eastAsia" w:ascii="仿宋" w:hAnsi="仿宋" w:eastAsia="仿宋" w:cs="宋体"/>
                      <w:kern w:val="0"/>
                      <w:sz w:val="24"/>
                    </w:rPr>
                  </w:pPr>
                  <w:r>
                    <w:rPr>
                      <w:rFonts w:hint="eastAsia" w:ascii="仿宋" w:hAnsi="仿宋" w:eastAsia="仿宋" w:cs="宋体"/>
                      <w:kern w:val="0"/>
                      <w:sz w:val="24"/>
                      <w:lang w:bidi="ar"/>
                    </w:rPr>
                    <w:t>铝背板</w:t>
                  </w:r>
                </w:p>
              </w:tc>
              <w:tc>
                <w:tcPr>
                  <w:tcW w:w="3636" w:type="pct"/>
                  <w:tcBorders>
                    <w:top w:val="single" w:color="auto" w:sz="4" w:space="0"/>
                    <w:left w:val="single" w:color="auto" w:sz="4" w:space="0"/>
                    <w:bottom w:val="single" w:color="auto" w:sz="4" w:space="0"/>
                    <w:right w:val="single" w:color="auto" w:sz="4" w:space="0"/>
                  </w:tcBorders>
                  <w:vAlign w:val="center"/>
                </w:tcPr>
                <w:p w14:paraId="64591C7B">
                  <w:pPr>
                    <w:widowControl/>
                    <w:numPr>
                      <w:ilvl w:val="0"/>
                      <w:numId w:val="2"/>
                    </w:numPr>
                    <w:spacing w:line="312" w:lineRule="auto"/>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优质铝质背板</w:t>
                  </w:r>
                </w:p>
                <w:p w14:paraId="49A67A84">
                  <w:pPr>
                    <w:widowControl/>
                    <w:numPr>
                      <w:ilvl w:val="0"/>
                      <w:numId w:val="2"/>
                    </w:numPr>
                    <w:spacing w:line="312" w:lineRule="auto"/>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厚度5毫米</w:t>
                  </w:r>
                </w:p>
              </w:tc>
            </w:tr>
            <w:tr w14:paraId="7073203E">
              <w:tblPrEx>
                <w:tblCellMar>
                  <w:top w:w="0" w:type="dxa"/>
                  <w:left w:w="108" w:type="dxa"/>
                  <w:bottom w:w="0" w:type="dxa"/>
                  <w:right w:w="108" w:type="dxa"/>
                </w:tblCellMar>
              </w:tblPrEx>
              <w:trPr>
                <w:trHeight w:val="90" w:hRule="atLeast"/>
              </w:trPr>
              <w:tc>
                <w:tcPr>
                  <w:tcW w:w="455" w:type="pct"/>
                  <w:tcBorders>
                    <w:top w:val="single" w:color="auto" w:sz="4" w:space="0"/>
                    <w:left w:val="single" w:color="auto" w:sz="4" w:space="0"/>
                    <w:bottom w:val="single" w:color="auto" w:sz="4" w:space="0"/>
                    <w:right w:val="single" w:color="auto" w:sz="4" w:space="0"/>
                  </w:tcBorders>
                  <w:vAlign w:val="center"/>
                </w:tcPr>
                <w:p w14:paraId="11880F57">
                  <w:pPr>
                    <w:widowControl/>
                    <w:jc w:val="center"/>
                    <w:textAlignment w:val="center"/>
                    <w:rPr>
                      <w:rFonts w:hint="eastAsia" w:ascii="仿宋" w:hAnsi="仿宋" w:eastAsia="仿宋" w:cs="宋体"/>
                      <w:kern w:val="0"/>
                      <w:sz w:val="24"/>
                      <w:lang w:bidi="ar"/>
                    </w:rPr>
                  </w:pPr>
                  <w:r>
                    <w:rPr>
                      <w:rFonts w:hint="eastAsia" w:ascii="仿宋" w:hAnsi="仿宋" w:eastAsia="仿宋" w:cs="宋体"/>
                      <w:kern w:val="0"/>
                      <w:sz w:val="24"/>
                      <w:lang w:bidi="ar"/>
                    </w:rPr>
                    <w:t>3</w:t>
                  </w:r>
                </w:p>
              </w:tc>
              <w:tc>
                <w:tcPr>
                  <w:tcW w:w="909" w:type="pct"/>
                  <w:tcBorders>
                    <w:top w:val="single" w:color="auto" w:sz="4" w:space="0"/>
                    <w:left w:val="single" w:color="auto" w:sz="4" w:space="0"/>
                    <w:bottom w:val="single" w:color="auto" w:sz="4" w:space="0"/>
                    <w:right w:val="single" w:color="auto" w:sz="4" w:space="0"/>
                  </w:tcBorders>
                  <w:vAlign w:val="center"/>
                </w:tcPr>
                <w:p w14:paraId="2BC14271">
                  <w:pPr>
                    <w:widowControl/>
                    <w:jc w:val="center"/>
                    <w:textAlignment w:val="center"/>
                    <w:rPr>
                      <w:rFonts w:hint="eastAsia" w:ascii="仿宋" w:hAnsi="仿宋" w:eastAsia="仿宋" w:cs="宋体"/>
                      <w:kern w:val="0"/>
                      <w:sz w:val="24"/>
                    </w:rPr>
                  </w:pPr>
                  <w:r>
                    <w:rPr>
                      <w:rFonts w:hint="eastAsia" w:ascii="仿宋" w:hAnsi="仿宋" w:eastAsia="仿宋" w:cs="宋体"/>
                      <w:kern w:val="0"/>
                      <w:sz w:val="24"/>
                      <w:lang w:bidi="ar"/>
                    </w:rPr>
                    <w:t>散热风扇</w:t>
                  </w:r>
                </w:p>
              </w:tc>
              <w:tc>
                <w:tcPr>
                  <w:tcW w:w="3636" w:type="pct"/>
                  <w:tcBorders>
                    <w:top w:val="single" w:color="auto" w:sz="4" w:space="0"/>
                    <w:left w:val="single" w:color="auto" w:sz="4" w:space="0"/>
                    <w:bottom w:val="single" w:color="auto" w:sz="4" w:space="0"/>
                    <w:right w:val="single" w:color="auto" w:sz="4" w:space="0"/>
                  </w:tcBorders>
                  <w:vAlign w:val="center"/>
                </w:tcPr>
                <w:p w14:paraId="301EA79E">
                  <w:pPr>
                    <w:widowControl/>
                    <w:numPr>
                      <w:ilvl w:val="0"/>
                      <w:numId w:val="3"/>
                    </w:numPr>
                    <w:spacing w:line="312" w:lineRule="auto"/>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塑料网罩</w:t>
                  </w:r>
                </w:p>
                <w:p w14:paraId="23112594">
                  <w:pPr>
                    <w:widowControl/>
                    <w:numPr>
                      <w:ilvl w:val="0"/>
                      <w:numId w:val="3"/>
                    </w:numPr>
                    <w:spacing w:line="312" w:lineRule="auto"/>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风扇工作电压AC220V</w:t>
                  </w:r>
                </w:p>
                <w:p w14:paraId="63DB55B0">
                  <w:pPr>
                    <w:widowControl/>
                    <w:numPr>
                      <w:ilvl w:val="0"/>
                      <w:numId w:val="3"/>
                    </w:numPr>
                    <w:spacing w:line="312" w:lineRule="auto"/>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工作温度：</w:t>
                  </w:r>
                  <w:r>
                    <w:rPr>
                      <w:rFonts w:ascii="仿宋" w:hAnsi="仿宋" w:eastAsia="仿宋" w:cs="宋体"/>
                      <w:kern w:val="0"/>
                      <w:sz w:val="24"/>
                      <w:lang w:bidi="ar"/>
                    </w:rPr>
                    <w:t>-10℃ ~ +60℃</w:t>
                  </w:r>
                </w:p>
              </w:tc>
            </w:tr>
            <w:tr w14:paraId="624D479B">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0BA8EC87">
                  <w:pPr>
                    <w:widowControl/>
                    <w:jc w:val="center"/>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4</w:t>
                  </w:r>
                </w:p>
              </w:tc>
              <w:tc>
                <w:tcPr>
                  <w:tcW w:w="909" w:type="pct"/>
                  <w:tcBorders>
                    <w:top w:val="single" w:color="auto" w:sz="4" w:space="0"/>
                    <w:left w:val="single" w:color="auto" w:sz="4" w:space="0"/>
                    <w:bottom w:val="single" w:color="auto" w:sz="4" w:space="0"/>
                    <w:right w:val="single" w:color="auto" w:sz="4" w:space="0"/>
                  </w:tcBorders>
                  <w:vAlign w:val="center"/>
                </w:tcPr>
                <w:p w14:paraId="6A86B036">
                  <w:pPr>
                    <w:widowControl/>
                    <w:jc w:val="center"/>
                    <w:textAlignment w:val="center"/>
                    <w:rPr>
                      <w:rFonts w:hint="eastAsia" w:ascii="仿宋" w:hAnsi="仿宋" w:eastAsia="仿宋" w:cs="宋体"/>
                      <w:kern w:val="0"/>
                      <w:sz w:val="24"/>
                    </w:rPr>
                  </w:pPr>
                  <w:r>
                    <w:rPr>
                      <w:rFonts w:hint="eastAsia" w:ascii="仿宋" w:hAnsi="仿宋" w:eastAsia="仿宋" w:cs="宋体"/>
                      <w:kern w:val="0"/>
                      <w:sz w:val="24"/>
                      <w:szCs w:val="22"/>
                      <w:lang w:bidi="ar"/>
                    </w:rPr>
                    <w:t>二相路断路器</w:t>
                  </w:r>
                </w:p>
              </w:tc>
              <w:tc>
                <w:tcPr>
                  <w:tcW w:w="3636" w:type="pct"/>
                  <w:tcBorders>
                    <w:top w:val="single" w:color="auto" w:sz="4" w:space="0"/>
                    <w:left w:val="single" w:color="auto" w:sz="4" w:space="0"/>
                    <w:bottom w:val="single" w:color="auto" w:sz="4" w:space="0"/>
                    <w:right w:val="single" w:color="auto" w:sz="4" w:space="0"/>
                  </w:tcBorders>
                  <w:vAlign w:val="center"/>
                </w:tcPr>
                <w:p w14:paraId="4C22F829">
                  <w:pPr>
                    <w:widowControl/>
                    <w:numPr>
                      <w:ilvl w:val="0"/>
                      <w:numId w:val="4"/>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极数：2</w:t>
                  </w:r>
                </w:p>
                <w:p w14:paraId="74970FFD">
                  <w:pPr>
                    <w:widowControl/>
                    <w:numPr>
                      <w:ilvl w:val="0"/>
                      <w:numId w:val="4"/>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额定电流;16A</w:t>
                  </w:r>
                </w:p>
              </w:tc>
            </w:tr>
            <w:tr w14:paraId="07789595">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49C0F853">
                  <w:pPr>
                    <w:widowControl/>
                    <w:jc w:val="center"/>
                    <w:textAlignment w:val="center"/>
                    <w:rPr>
                      <w:rFonts w:hint="eastAsia" w:ascii="仿宋" w:hAnsi="仿宋" w:eastAsia="仿宋" w:cs="宋体"/>
                      <w:kern w:val="0"/>
                      <w:sz w:val="24"/>
                      <w:szCs w:val="22"/>
                      <w:lang w:bidi="ar"/>
                    </w:rPr>
                  </w:pPr>
                  <w:r>
                    <w:rPr>
                      <w:rFonts w:ascii="仿宋" w:hAnsi="仿宋" w:eastAsia="仿宋" w:cs="宋体"/>
                      <w:kern w:val="0"/>
                      <w:sz w:val="24"/>
                      <w:szCs w:val="22"/>
                      <w:lang w:bidi="ar"/>
                    </w:rPr>
                    <w:t>5</w:t>
                  </w:r>
                </w:p>
              </w:tc>
              <w:tc>
                <w:tcPr>
                  <w:tcW w:w="909" w:type="pct"/>
                  <w:tcBorders>
                    <w:top w:val="single" w:color="auto" w:sz="4" w:space="0"/>
                    <w:left w:val="single" w:color="auto" w:sz="4" w:space="0"/>
                    <w:bottom w:val="single" w:color="auto" w:sz="4" w:space="0"/>
                    <w:right w:val="single" w:color="auto" w:sz="4" w:space="0"/>
                  </w:tcBorders>
                  <w:vAlign w:val="center"/>
                </w:tcPr>
                <w:p w14:paraId="0B035B07">
                  <w:pPr>
                    <w:widowControl/>
                    <w:jc w:val="center"/>
                    <w:textAlignment w:val="center"/>
                    <w:rPr>
                      <w:rFonts w:hint="eastAsia" w:ascii="仿宋" w:hAnsi="仿宋" w:eastAsia="仿宋" w:cs="宋体"/>
                      <w:kern w:val="0"/>
                      <w:sz w:val="24"/>
                    </w:rPr>
                  </w:pPr>
                  <w:r>
                    <w:rPr>
                      <w:rFonts w:hint="eastAsia" w:ascii="仿宋" w:hAnsi="仿宋" w:eastAsia="仿宋" w:cs="宋体"/>
                      <w:kern w:val="0"/>
                      <w:sz w:val="24"/>
                      <w:szCs w:val="22"/>
                      <w:lang w:bidi="ar"/>
                    </w:rPr>
                    <w:t>PDU插座</w:t>
                  </w:r>
                </w:p>
              </w:tc>
              <w:tc>
                <w:tcPr>
                  <w:tcW w:w="3636" w:type="pct"/>
                  <w:tcBorders>
                    <w:top w:val="single" w:color="auto" w:sz="4" w:space="0"/>
                    <w:left w:val="single" w:color="auto" w:sz="4" w:space="0"/>
                    <w:bottom w:val="single" w:color="auto" w:sz="4" w:space="0"/>
                    <w:right w:val="single" w:color="auto" w:sz="4" w:space="0"/>
                  </w:tcBorders>
                  <w:vAlign w:val="center"/>
                </w:tcPr>
                <w:p w14:paraId="1AC7CAFA">
                  <w:pPr>
                    <w:widowControl/>
                    <w:numPr>
                      <w:ilvl w:val="0"/>
                      <w:numId w:val="5"/>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带总控开关</w:t>
                  </w:r>
                </w:p>
                <w:p w14:paraId="7DC28B78">
                  <w:pPr>
                    <w:widowControl/>
                    <w:numPr>
                      <w:ilvl w:val="0"/>
                      <w:numId w:val="5"/>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带电压指示灯</w:t>
                  </w:r>
                </w:p>
                <w:p w14:paraId="2B6D72B5">
                  <w:pPr>
                    <w:widowControl/>
                    <w:numPr>
                      <w:ilvl w:val="0"/>
                      <w:numId w:val="5"/>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输出：4位10A国标孔</w:t>
                  </w:r>
                </w:p>
                <w:p w14:paraId="20D643D3">
                  <w:pPr>
                    <w:widowControl/>
                    <w:numPr>
                      <w:ilvl w:val="0"/>
                      <w:numId w:val="5"/>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功率：2500W</w:t>
                  </w:r>
                </w:p>
                <w:p w14:paraId="56F4C6B9">
                  <w:pPr>
                    <w:widowControl/>
                    <w:numPr>
                      <w:ilvl w:val="0"/>
                      <w:numId w:val="5"/>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支持10A小插头</w:t>
                  </w:r>
                </w:p>
              </w:tc>
            </w:tr>
            <w:tr w14:paraId="6F6C8C51">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380F1799">
                  <w:pPr>
                    <w:widowControl/>
                    <w:jc w:val="center"/>
                    <w:textAlignment w:val="center"/>
                    <w:rPr>
                      <w:rFonts w:hint="eastAsia" w:ascii="仿宋" w:hAnsi="仿宋" w:eastAsia="仿宋" w:cs="宋体"/>
                      <w:kern w:val="0"/>
                      <w:sz w:val="24"/>
                      <w:szCs w:val="22"/>
                      <w:lang w:bidi="ar"/>
                    </w:rPr>
                  </w:pPr>
                  <w:r>
                    <w:rPr>
                      <w:rFonts w:ascii="仿宋" w:hAnsi="仿宋" w:eastAsia="仿宋" w:cs="宋体"/>
                      <w:kern w:val="0"/>
                      <w:sz w:val="24"/>
                      <w:szCs w:val="22"/>
                      <w:lang w:bidi="ar"/>
                    </w:rPr>
                    <w:t>6</w:t>
                  </w:r>
                </w:p>
              </w:tc>
              <w:tc>
                <w:tcPr>
                  <w:tcW w:w="909" w:type="pct"/>
                  <w:tcBorders>
                    <w:top w:val="single" w:color="auto" w:sz="4" w:space="0"/>
                    <w:left w:val="single" w:color="auto" w:sz="4" w:space="0"/>
                    <w:bottom w:val="single" w:color="auto" w:sz="4" w:space="0"/>
                    <w:right w:val="single" w:color="auto" w:sz="4" w:space="0"/>
                  </w:tcBorders>
                  <w:vAlign w:val="center"/>
                </w:tcPr>
                <w:p w14:paraId="36091157">
                  <w:pPr>
                    <w:widowControl/>
                    <w:jc w:val="center"/>
                    <w:textAlignment w:val="center"/>
                    <w:rPr>
                      <w:rFonts w:hint="eastAsia" w:ascii="仿宋" w:hAnsi="仿宋" w:eastAsia="仿宋" w:cs="宋体"/>
                      <w:kern w:val="0"/>
                      <w:sz w:val="24"/>
                    </w:rPr>
                  </w:pPr>
                  <w:r>
                    <w:rPr>
                      <w:rFonts w:hint="eastAsia" w:ascii="仿宋" w:hAnsi="仿宋" w:eastAsia="仿宋" w:cs="宋体"/>
                      <w:kern w:val="0"/>
                      <w:sz w:val="24"/>
                      <w:szCs w:val="22"/>
                      <w:lang w:bidi="ar"/>
                    </w:rPr>
                    <w:t>PT2.5端子（含短路条）</w:t>
                  </w:r>
                </w:p>
              </w:tc>
              <w:tc>
                <w:tcPr>
                  <w:tcW w:w="3636" w:type="pct"/>
                  <w:tcBorders>
                    <w:top w:val="single" w:color="auto" w:sz="4" w:space="0"/>
                    <w:left w:val="single" w:color="auto" w:sz="4" w:space="0"/>
                    <w:bottom w:val="single" w:color="auto" w:sz="4" w:space="0"/>
                    <w:right w:val="single" w:color="auto" w:sz="4" w:space="0"/>
                  </w:tcBorders>
                  <w:vAlign w:val="center"/>
                </w:tcPr>
                <w:p w14:paraId="14EAF865">
                  <w:pPr>
                    <w:widowControl/>
                    <w:numPr>
                      <w:ilvl w:val="0"/>
                      <w:numId w:val="6"/>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连线方式：直插式快速连接</w:t>
                  </w:r>
                </w:p>
                <w:p w14:paraId="1548009A">
                  <w:pPr>
                    <w:widowControl/>
                    <w:numPr>
                      <w:ilvl w:val="0"/>
                      <w:numId w:val="6"/>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标称工作电压：800V</w:t>
                  </w:r>
                </w:p>
                <w:p w14:paraId="064BD97C">
                  <w:pPr>
                    <w:widowControl/>
                    <w:numPr>
                      <w:ilvl w:val="0"/>
                      <w:numId w:val="6"/>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标称工作电流：24A</w:t>
                  </w:r>
                </w:p>
                <w:p w14:paraId="26E30CBE">
                  <w:pPr>
                    <w:widowControl/>
                    <w:numPr>
                      <w:ilvl w:val="0"/>
                      <w:numId w:val="6"/>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横截面积：0.14-4mm</w:t>
                  </w:r>
                  <w:r>
                    <w:rPr>
                      <w:rFonts w:hint="eastAsia" w:ascii="仿宋" w:hAnsi="仿宋" w:eastAsia="仿宋" w:cs="宋体"/>
                      <w:kern w:val="0"/>
                      <w:sz w:val="24"/>
                      <w:szCs w:val="22"/>
                      <w:vertAlign w:val="superscript"/>
                      <w:lang w:bidi="ar"/>
                    </w:rPr>
                    <w:t>2</w:t>
                  </w:r>
                </w:p>
              </w:tc>
            </w:tr>
            <w:tr w14:paraId="6FBFF802">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32500194">
                  <w:pPr>
                    <w:widowControl/>
                    <w:jc w:val="center"/>
                    <w:textAlignment w:val="center"/>
                    <w:rPr>
                      <w:rFonts w:hint="eastAsia" w:ascii="仿宋" w:hAnsi="仿宋" w:eastAsia="仿宋" w:cs="宋体"/>
                      <w:kern w:val="0"/>
                      <w:sz w:val="24"/>
                      <w:szCs w:val="22"/>
                      <w:lang w:bidi="ar"/>
                    </w:rPr>
                  </w:pPr>
                  <w:r>
                    <w:rPr>
                      <w:rFonts w:ascii="仿宋" w:hAnsi="仿宋" w:eastAsia="仿宋" w:cs="宋体"/>
                      <w:kern w:val="0"/>
                      <w:sz w:val="24"/>
                      <w:szCs w:val="22"/>
                      <w:lang w:bidi="ar"/>
                    </w:rPr>
                    <w:t>7</w:t>
                  </w:r>
                </w:p>
              </w:tc>
              <w:tc>
                <w:tcPr>
                  <w:tcW w:w="909" w:type="pct"/>
                  <w:tcBorders>
                    <w:top w:val="single" w:color="auto" w:sz="4" w:space="0"/>
                    <w:left w:val="single" w:color="auto" w:sz="4" w:space="0"/>
                    <w:bottom w:val="single" w:color="auto" w:sz="4" w:space="0"/>
                    <w:right w:val="single" w:color="auto" w:sz="4" w:space="0"/>
                  </w:tcBorders>
                  <w:vAlign w:val="center"/>
                </w:tcPr>
                <w:p w14:paraId="425951DF">
                  <w:pPr>
                    <w:widowControl/>
                    <w:jc w:val="center"/>
                    <w:textAlignment w:val="center"/>
                    <w:rPr>
                      <w:rFonts w:hint="eastAsia" w:ascii="仿宋" w:hAnsi="仿宋" w:eastAsia="仿宋" w:cs="宋体"/>
                      <w:kern w:val="0"/>
                      <w:sz w:val="24"/>
                    </w:rPr>
                  </w:pPr>
                  <w:r>
                    <w:rPr>
                      <w:rFonts w:hint="eastAsia" w:ascii="仿宋" w:hAnsi="仿宋" w:eastAsia="仿宋" w:cs="宋体"/>
                      <w:kern w:val="0"/>
                      <w:sz w:val="24"/>
                      <w:szCs w:val="22"/>
                      <w:lang w:bidi="ar"/>
                    </w:rPr>
                    <w:t>保险端子（含保险丝）</w:t>
                  </w:r>
                </w:p>
              </w:tc>
              <w:tc>
                <w:tcPr>
                  <w:tcW w:w="3636" w:type="pct"/>
                  <w:tcBorders>
                    <w:top w:val="single" w:color="auto" w:sz="4" w:space="0"/>
                    <w:left w:val="single" w:color="auto" w:sz="4" w:space="0"/>
                    <w:bottom w:val="single" w:color="auto" w:sz="4" w:space="0"/>
                    <w:right w:val="single" w:color="auto" w:sz="4" w:space="0"/>
                  </w:tcBorders>
                  <w:vAlign w:val="center"/>
                </w:tcPr>
                <w:p w14:paraId="77A6C04F">
                  <w:pPr>
                    <w:widowControl/>
                    <w:numPr>
                      <w:ilvl w:val="0"/>
                      <w:numId w:val="7"/>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标准电压：电流大于5A</w:t>
                  </w:r>
                </w:p>
                <w:p w14:paraId="532C90E8">
                  <w:pPr>
                    <w:widowControl/>
                    <w:numPr>
                      <w:ilvl w:val="0"/>
                      <w:numId w:val="7"/>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连接方式：螺钉连接</w:t>
                  </w:r>
                </w:p>
              </w:tc>
            </w:tr>
            <w:tr w14:paraId="751A3C65">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329A5BDD">
                  <w:pPr>
                    <w:widowControl/>
                    <w:jc w:val="center"/>
                    <w:textAlignment w:val="center"/>
                    <w:rPr>
                      <w:rFonts w:hint="eastAsia" w:ascii="仿宋" w:hAnsi="仿宋" w:eastAsia="仿宋" w:cs="宋体"/>
                      <w:kern w:val="0"/>
                      <w:sz w:val="24"/>
                      <w:szCs w:val="22"/>
                      <w:lang w:bidi="ar"/>
                    </w:rPr>
                  </w:pPr>
                  <w:r>
                    <w:rPr>
                      <w:rFonts w:ascii="仿宋" w:hAnsi="仿宋" w:eastAsia="仿宋" w:cs="宋体"/>
                      <w:kern w:val="0"/>
                      <w:sz w:val="24"/>
                      <w:szCs w:val="22"/>
                      <w:lang w:bidi="ar"/>
                    </w:rPr>
                    <w:t>8</w:t>
                  </w:r>
                </w:p>
              </w:tc>
              <w:tc>
                <w:tcPr>
                  <w:tcW w:w="909" w:type="pct"/>
                  <w:tcBorders>
                    <w:top w:val="single" w:color="auto" w:sz="4" w:space="0"/>
                    <w:left w:val="single" w:color="auto" w:sz="4" w:space="0"/>
                    <w:bottom w:val="single" w:color="auto" w:sz="4" w:space="0"/>
                    <w:right w:val="single" w:color="auto" w:sz="4" w:space="0"/>
                  </w:tcBorders>
                  <w:vAlign w:val="center"/>
                </w:tcPr>
                <w:p w14:paraId="66C2FFEE">
                  <w:pPr>
                    <w:widowControl/>
                    <w:jc w:val="center"/>
                    <w:textAlignment w:val="center"/>
                    <w:rPr>
                      <w:rFonts w:hint="eastAsia" w:ascii="仿宋" w:hAnsi="仿宋" w:eastAsia="仿宋" w:cs="宋体"/>
                      <w:kern w:val="0"/>
                      <w:sz w:val="24"/>
                    </w:rPr>
                  </w:pPr>
                  <w:r>
                    <w:rPr>
                      <w:rFonts w:hint="eastAsia" w:ascii="仿宋" w:hAnsi="仿宋" w:eastAsia="仿宋" w:cs="宋体"/>
                      <w:kern w:val="0"/>
                      <w:sz w:val="24"/>
                      <w:szCs w:val="22"/>
                      <w:lang w:bidi="ar"/>
                    </w:rPr>
                    <w:t>导轨</w:t>
                  </w:r>
                </w:p>
              </w:tc>
              <w:tc>
                <w:tcPr>
                  <w:tcW w:w="3636" w:type="pct"/>
                  <w:tcBorders>
                    <w:top w:val="single" w:color="auto" w:sz="4" w:space="0"/>
                    <w:left w:val="single" w:color="auto" w:sz="4" w:space="0"/>
                    <w:bottom w:val="single" w:color="auto" w:sz="4" w:space="0"/>
                    <w:right w:val="single" w:color="auto" w:sz="4" w:space="0"/>
                  </w:tcBorders>
                  <w:vAlign w:val="center"/>
                </w:tcPr>
                <w:p w14:paraId="61E134B6">
                  <w:pPr>
                    <w:widowControl/>
                    <w:numPr>
                      <w:ilvl w:val="0"/>
                      <w:numId w:val="8"/>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厚度：1mm</w:t>
                  </w:r>
                </w:p>
                <w:p w14:paraId="17B00F7F">
                  <w:pPr>
                    <w:widowControl/>
                    <w:numPr>
                      <w:ilvl w:val="0"/>
                      <w:numId w:val="8"/>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材质：钢镀锌</w:t>
                  </w:r>
                </w:p>
                <w:p w14:paraId="584F4BC2">
                  <w:pPr>
                    <w:widowControl/>
                    <w:numPr>
                      <w:ilvl w:val="0"/>
                      <w:numId w:val="8"/>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DIN导轨，有孔</w:t>
                  </w:r>
                </w:p>
              </w:tc>
            </w:tr>
            <w:tr w14:paraId="0B6E98E4">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0A8BF69D">
                  <w:pPr>
                    <w:widowControl/>
                    <w:jc w:val="center"/>
                    <w:textAlignment w:val="center"/>
                    <w:rPr>
                      <w:rFonts w:hint="eastAsia" w:ascii="仿宋" w:hAnsi="仿宋" w:eastAsia="仿宋" w:cs="宋体"/>
                      <w:kern w:val="0"/>
                      <w:sz w:val="24"/>
                      <w:szCs w:val="22"/>
                      <w:lang w:bidi="ar"/>
                    </w:rPr>
                  </w:pPr>
                  <w:r>
                    <w:rPr>
                      <w:rFonts w:ascii="仿宋" w:hAnsi="仿宋" w:eastAsia="仿宋" w:cs="宋体"/>
                      <w:kern w:val="0"/>
                      <w:sz w:val="24"/>
                      <w:szCs w:val="22"/>
                      <w:lang w:bidi="ar"/>
                    </w:rPr>
                    <w:t>9</w:t>
                  </w:r>
                </w:p>
              </w:tc>
              <w:tc>
                <w:tcPr>
                  <w:tcW w:w="909" w:type="pct"/>
                  <w:tcBorders>
                    <w:top w:val="single" w:color="auto" w:sz="4" w:space="0"/>
                    <w:left w:val="single" w:color="auto" w:sz="4" w:space="0"/>
                    <w:bottom w:val="single" w:color="auto" w:sz="4" w:space="0"/>
                    <w:right w:val="single" w:color="auto" w:sz="4" w:space="0"/>
                  </w:tcBorders>
                  <w:vAlign w:val="center"/>
                </w:tcPr>
                <w:p w14:paraId="3680ABB2">
                  <w:pPr>
                    <w:widowControl/>
                    <w:jc w:val="center"/>
                    <w:textAlignment w:val="center"/>
                    <w:rPr>
                      <w:rFonts w:hint="eastAsia" w:ascii="仿宋" w:hAnsi="仿宋" w:eastAsia="仿宋" w:cs="宋体"/>
                      <w:kern w:val="0"/>
                      <w:sz w:val="24"/>
                    </w:rPr>
                  </w:pPr>
                  <w:r>
                    <w:rPr>
                      <w:rFonts w:hint="eastAsia" w:ascii="仿宋" w:hAnsi="仿宋" w:eastAsia="仿宋" w:cs="宋体"/>
                      <w:kern w:val="0"/>
                      <w:sz w:val="24"/>
                      <w:szCs w:val="22"/>
                      <w:lang w:bidi="ar"/>
                    </w:rPr>
                    <w:t>电源模块</w:t>
                  </w:r>
                </w:p>
              </w:tc>
              <w:tc>
                <w:tcPr>
                  <w:tcW w:w="3636" w:type="pct"/>
                  <w:tcBorders>
                    <w:top w:val="single" w:color="auto" w:sz="4" w:space="0"/>
                    <w:left w:val="single" w:color="auto" w:sz="4" w:space="0"/>
                    <w:bottom w:val="single" w:color="auto" w:sz="4" w:space="0"/>
                    <w:right w:val="single" w:color="auto" w:sz="4" w:space="0"/>
                  </w:tcBorders>
                  <w:vAlign w:val="center"/>
                </w:tcPr>
                <w:p w14:paraId="01478A29">
                  <w:pPr>
                    <w:widowControl/>
                    <w:numPr>
                      <w:ilvl w:val="0"/>
                      <w:numId w:val="9"/>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输入电压范围：85VCC-264VCC</w:t>
                  </w:r>
                </w:p>
                <w:p w14:paraId="308BE6BE">
                  <w:pPr>
                    <w:widowControl/>
                    <w:numPr>
                      <w:ilvl w:val="0"/>
                      <w:numId w:val="9"/>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输出:  +-1%</w:t>
                  </w:r>
                </w:p>
                <w:p w14:paraId="021FC212">
                  <w:pPr>
                    <w:widowControl/>
                    <w:numPr>
                      <w:ilvl w:val="0"/>
                      <w:numId w:val="9"/>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输出电压可调节：22.5VDC--29VDC</w:t>
                  </w:r>
                </w:p>
                <w:p w14:paraId="1764F09D">
                  <w:pPr>
                    <w:widowControl/>
                    <w:numPr>
                      <w:ilvl w:val="0"/>
                      <w:numId w:val="9"/>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额定输出电流：5A</w:t>
                  </w:r>
                </w:p>
                <w:p w14:paraId="166F7E7C">
                  <w:pPr>
                    <w:widowControl/>
                    <w:numPr>
                      <w:ilvl w:val="0"/>
                      <w:numId w:val="9"/>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效率：大于89%</w:t>
                  </w:r>
                </w:p>
                <w:p w14:paraId="4E5419CC">
                  <w:pPr>
                    <w:widowControl/>
                    <w:numPr>
                      <w:ilvl w:val="0"/>
                      <w:numId w:val="9"/>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安装：导轨安装</w:t>
                  </w:r>
                </w:p>
              </w:tc>
            </w:tr>
            <w:tr w14:paraId="59213E02">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2CEC22AB">
                  <w:pPr>
                    <w:widowControl/>
                    <w:jc w:val="center"/>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1</w:t>
                  </w:r>
                  <w:r>
                    <w:rPr>
                      <w:rFonts w:ascii="仿宋" w:hAnsi="仿宋" w:eastAsia="仿宋" w:cs="宋体"/>
                      <w:kern w:val="0"/>
                      <w:sz w:val="24"/>
                      <w:szCs w:val="22"/>
                      <w:lang w:bidi="ar"/>
                    </w:rPr>
                    <w:t>0</w:t>
                  </w:r>
                </w:p>
              </w:tc>
              <w:tc>
                <w:tcPr>
                  <w:tcW w:w="909" w:type="pct"/>
                  <w:tcBorders>
                    <w:top w:val="single" w:color="auto" w:sz="4" w:space="0"/>
                    <w:left w:val="single" w:color="auto" w:sz="4" w:space="0"/>
                    <w:bottom w:val="single" w:color="auto" w:sz="4" w:space="0"/>
                    <w:right w:val="single" w:color="auto" w:sz="4" w:space="0"/>
                  </w:tcBorders>
                  <w:vAlign w:val="center"/>
                </w:tcPr>
                <w:p w14:paraId="79FACAAA">
                  <w:pPr>
                    <w:widowControl/>
                    <w:jc w:val="center"/>
                    <w:textAlignment w:val="center"/>
                    <w:rPr>
                      <w:rFonts w:hint="eastAsia" w:ascii="仿宋" w:hAnsi="仿宋" w:eastAsia="仿宋" w:cs="宋体"/>
                      <w:kern w:val="0"/>
                      <w:sz w:val="24"/>
                    </w:rPr>
                  </w:pPr>
                  <w:r>
                    <w:rPr>
                      <w:rFonts w:hint="eastAsia" w:ascii="仿宋" w:hAnsi="仿宋" w:eastAsia="仿宋" w:cs="宋体"/>
                      <w:kern w:val="0"/>
                      <w:sz w:val="24"/>
                      <w:szCs w:val="22"/>
                      <w:lang w:bidi="ar"/>
                    </w:rPr>
                    <w:t>继电器模组 (含底座)</w:t>
                  </w:r>
                </w:p>
              </w:tc>
              <w:tc>
                <w:tcPr>
                  <w:tcW w:w="3636" w:type="pct"/>
                  <w:tcBorders>
                    <w:top w:val="single" w:color="auto" w:sz="4" w:space="0"/>
                    <w:left w:val="single" w:color="auto" w:sz="4" w:space="0"/>
                    <w:bottom w:val="single" w:color="auto" w:sz="4" w:space="0"/>
                    <w:right w:val="single" w:color="auto" w:sz="4" w:space="0"/>
                  </w:tcBorders>
                  <w:vAlign w:val="center"/>
                </w:tcPr>
                <w:p w14:paraId="253DE614">
                  <w:pPr>
                    <w:widowControl/>
                    <w:numPr>
                      <w:ilvl w:val="0"/>
                      <w:numId w:val="10"/>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额定输入电压：24V DC</w:t>
                  </w:r>
                </w:p>
                <w:p w14:paraId="52B04CBB">
                  <w:pPr>
                    <w:widowControl/>
                    <w:numPr>
                      <w:ilvl w:val="0"/>
                      <w:numId w:val="10"/>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带工作电压指示灯</w:t>
                  </w:r>
                </w:p>
                <w:p w14:paraId="507C7601">
                  <w:pPr>
                    <w:widowControl/>
                    <w:numPr>
                      <w:ilvl w:val="0"/>
                      <w:numId w:val="10"/>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触点类型：双路输出</w:t>
                  </w:r>
                </w:p>
                <w:p w14:paraId="51C7D68F">
                  <w:pPr>
                    <w:widowControl/>
                    <w:numPr>
                      <w:ilvl w:val="0"/>
                      <w:numId w:val="10"/>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最大冲击电流：</w:t>
                  </w:r>
                  <w:r>
                    <w:rPr>
                      <w:rFonts w:ascii="仿宋" w:hAnsi="仿宋" w:eastAsia="仿宋" w:cs="宋体"/>
                      <w:kern w:val="0"/>
                      <w:sz w:val="24"/>
                      <w:szCs w:val="22"/>
                      <w:lang w:bidi="ar"/>
                    </w:rPr>
                    <w:t>30</w:t>
                  </w:r>
                  <w:r>
                    <w:rPr>
                      <w:rFonts w:hint="eastAsia" w:ascii="仿宋" w:hAnsi="仿宋" w:eastAsia="仿宋" w:cs="宋体"/>
                      <w:kern w:val="0"/>
                      <w:sz w:val="24"/>
                      <w:szCs w:val="22"/>
                      <w:lang w:bidi="ar"/>
                    </w:rPr>
                    <w:t>A（3</w:t>
                  </w:r>
                  <w:r>
                    <w:rPr>
                      <w:rFonts w:ascii="仿宋" w:hAnsi="仿宋" w:eastAsia="仿宋" w:cs="宋体"/>
                      <w:kern w:val="0"/>
                      <w:sz w:val="24"/>
                      <w:szCs w:val="22"/>
                      <w:lang w:bidi="ar"/>
                    </w:rPr>
                    <w:t>00</w:t>
                  </w:r>
                  <w:r>
                    <w:rPr>
                      <w:rFonts w:hint="eastAsia" w:ascii="仿宋" w:hAnsi="仿宋" w:eastAsia="仿宋" w:cs="宋体"/>
                      <w:kern w:val="0"/>
                      <w:sz w:val="24"/>
                      <w:szCs w:val="22"/>
                      <w:lang w:bidi="ar"/>
                    </w:rPr>
                    <w:t>ms）</w:t>
                  </w:r>
                </w:p>
                <w:p w14:paraId="7A7F0FC0">
                  <w:pPr>
                    <w:widowControl/>
                    <w:numPr>
                      <w:ilvl w:val="0"/>
                      <w:numId w:val="10"/>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开关容量：2A 24V</w:t>
                  </w:r>
                </w:p>
                <w:p w14:paraId="778C36DA">
                  <w:pPr>
                    <w:widowControl/>
                    <w:numPr>
                      <w:ilvl w:val="0"/>
                      <w:numId w:val="10"/>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 xml:space="preserve">额定过压： </w:t>
                  </w:r>
                  <w:r>
                    <w:rPr>
                      <w:rFonts w:ascii="仿宋" w:hAnsi="仿宋" w:eastAsia="仿宋" w:cs="宋体"/>
                      <w:kern w:val="0"/>
                      <w:sz w:val="24"/>
                      <w:szCs w:val="22"/>
                      <w:lang w:bidi="ar"/>
                    </w:rPr>
                    <w:t>6</w:t>
                  </w:r>
                  <w:r>
                    <w:rPr>
                      <w:rFonts w:hint="eastAsia" w:ascii="仿宋" w:hAnsi="仿宋" w:eastAsia="仿宋" w:cs="宋体"/>
                      <w:kern w:val="0"/>
                      <w:sz w:val="24"/>
                      <w:szCs w:val="22"/>
                      <w:lang w:bidi="ar"/>
                    </w:rPr>
                    <w:t>KV</w:t>
                  </w:r>
                </w:p>
              </w:tc>
            </w:tr>
            <w:tr w14:paraId="22A85920">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6B54B375">
                  <w:pPr>
                    <w:widowControl/>
                    <w:jc w:val="center"/>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11</w:t>
                  </w:r>
                </w:p>
              </w:tc>
              <w:tc>
                <w:tcPr>
                  <w:tcW w:w="909" w:type="pct"/>
                  <w:tcBorders>
                    <w:top w:val="single" w:color="auto" w:sz="4" w:space="0"/>
                    <w:left w:val="single" w:color="auto" w:sz="4" w:space="0"/>
                    <w:bottom w:val="single" w:color="auto" w:sz="4" w:space="0"/>
                    <w:right w:val="single" w:color="auto" w:sz="4" w:space="0"/>
                  </w:tcBorders>
                  <w:vAlign w:val="center"/>
                </w:tcPr>
                <w:p w14:paraId="2B757C74">
                  <w:pPr>
                    <w:widowControl/>
                    <w:jc w:val="center"/>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工业触摸屏</w:t>
                  </w:r>
                </w:p>
              </w:tc>
              <w:tc>
                <w:tcPr>
                  <w:tcW w:w="3636" w:type="pct"/>
                  <w:tcBorders>
                    <w:top w:val="single" w:color="auto" w:sz="4" w:space="0"/>
                    <w:left w:val="single" w:color="auto" w:sz="4" w:space="0"/>
                    <w:bottom w:val="single" w:color="auto" w:sz="4" w:space="0"/>
                    <w:right w:val="single" w:color="auto" w:sz="4" w:space="0"/>
                  </w:tcBorders>
                  <w:vAlign w:val="center"/>
                </w:tcPr>
                <w:p w14:paraId="553425D0">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尺寸：1</w:t>
                  </w:r>
                  <w:r>
                    <w:rPr>
                      <w:rFonts w:ascii="仿宋" w:hAnsi="仿宋" w:eastAsia="仿宋" w:cs="宋体"/>
                      <w:kern w:val="0"/>
                      <w:sz w:val="24"/>
                      <w:szCs w:val="22"/>
                      <w:lang w:bidi="ar"/>
                    </w:rPr>
                    <w:t>5</w:t>
                  </w:r>
                  <w:r>
                    <w:rPr>
                      <w:rFonts w:hint="eastAsia" w:ascii="仿宋" w:hAnsi="仿宋" w:eastAsia="仿宋" w:cs="宋体"/>
                      <w:kern w:val="0"/>
                      <w:sz w:val="24"/>
                      <w:szCs w:val="22"/>
                      <w:lang w:bidi="ar"/>
                    </w:rPr>
                    <w:t>寸</w:t>
                  </w:r>
                </w:p>
                <w:p w14:paraId="4C9B74D4">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分辨率：1</w:t>
                  </w:r>
                  <w:r>
                    <w:rPr>
                      <w:rFonts w:ascii="仿宋" w:hAnsi="仿宋" w:eastAsia="仿宋" w:cs="宋体"/>
                      <w:kern w:val="0"/>
                      <w:sz w:val="24"/>
                      <w:szCs w:val="22"/>
                      <w:lang w:bidi="ar"/>
                    </w:rPr>
                    <w:t>280</w:t>
                  </w:r>
                  <w:r>
                    <w:rPr>
                      <w:rFonts w:hint="eastAsia" w:ascii="仿宋" w:hAnsi="仿宋" w:eastAsia="仿宋" w:cs="宋体"/>
                      <w:kern w:val="0"/>
                      <w:sz w:val="24"/>
                      <w:szCs w:val="22"/>
                      <w:lang w:bidi="ar"/>
                    </w:rPr>
                    <w:t>*</w:t>
                  </w:r>
                  <w:r>
                    <w:rPr>
                      <w:rFonts w:ascii="仿宋" w:hAnsi="仿宋" w:eastAsia="仿宋" w:cs="宋体"/>
                      <w:kern w:val="0"/>
                      <w:sz w:val="24"/>
                      <w:szCs w:val="22"/>
                      <w:lang w:bidi="ar"/>
                    </w:rPr>
                    <w:t>8</w:t>
                  </w:r>
                  <w:r>
                    <w:rPr>
                      <w:rFonts w:hint="eastAsia" w:ascii="仿宋" w:hAnsi="仿宋" w:eastAsia="仿宋" w:cs="宋体"/>
                      <w:kern w:val="0"/>
                      <w:sz w:val="24"/>
                      <w:szCs w:val="22"/>
                      <w:lang w:bidi="ar"/>
                    </w:rPr>
                    <w:t>00</w:t>
                  </w:r>
                </w:p>
                <w:p w14:paraId="02DDC1CF">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点击次数：4000万次</w:t>
                  </w:r>
                </w:p>
                <w:p w14:paraId="1060DF0B">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背光寿命：≥5</w:t>
                  </w:r>
                  <w:r>
                    <w:rPr>
                      <w:rFonts w:ascii="仿宋" w:hAnsi="仿宋" w:eastAsia="仿宋" w:cs="宋体"/>
                      <w:kern w:val="0"/>
                      <w:sz w:val="24"/>
                      <w:szCs w:val="22"/>
                      <w:lang w:bidi="ar"/>
                    </w:rPr>
                    <w:t>0000</w:t>
                  </w:r>
                  <w:r>
                    <w:rPr>
                      <w:rFonts w:hint="eastAsia" w:ascii="仿宋" w:hAnsi="仿宋" w:eastAsia="仿宋" w:cs="宋体"/>
                      <w:kern w:val="0"/>
                      <w:sz w:val="24"/>
                      <w:szCs w:val="22"/>
                      <w:lang w:bidi="ar"/>
                    </w:rPr>
                    <w:t>小时</w:t>
                  </w:r>
                </w:p>
                <w:p w14:paraId="6F596F5B">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以太网接口：2个</w:t>
                  </w:r>
                </w:p>
                <w:p w14:paraId="5511D60A">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支持SD插卡</w:t>
                  </w:r>
                </w:p>
                <w:p w14:paraId="284D31B3">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国际安全认证：满足CE,UL,FCC及船级社认证</w:t>
                  </w:r>
                  <w:r>
                    <w:rPr>
                      <w:rFonts w:ascii="仿宋" w:hAnsi="仿宋" w:eastAsia="仿宋" w:cs="宋体"/>
                      <w:kern w:val="0"/>
                      <w:sz w:val="24"/>
                      <w:szCs w:val="22"/>
                      <w:lang w:bidi="ar"/>
                    </w:rPr>
                    <w:t xml:space="preserve"> </w:t>
                  </w:r>
                </w:p>
                <w:p w14:paraId="3478615E">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可扩展接口：</w:t>
                  </w:r>
                  <w:r>
                    <w:rPr>
                      <w:rFonts w:ascii="仿宋" w:hAnsi="仿宋" w:eastAsia="仿宋" w:cs="宋体"/>
                      <w:kern w:val="0"/>
                      <w:sz w:val="24"/>
                      <w:szCs w:val="22"/>
                      <w:lang w:bidi="ar"/>
                    </w:rPr>
                    <w:t>可选CAN、Profibus-DP总线网卡</w:t>
                  </w:r>
                </w:p>
                <w:p w14:paraId="093C159D">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 xml:space="preserve">处理器： </w:t>
                  </w:r>
                  <w:r>
                    <w:rPr>
                      <w:rFonts w:ascii="仿宋" w:hAnsi="仿宋" w:eastAsia="仿宋" w:cs="宋体"/>
                      <w:kern w:val="0"/>
                      <w:sz w:val="24"/>
                      <w:szCs w:val="22"/>
                      <w:lang w:bidi="ar"/>
                    </w:rPr>
                    <w:t>ARM A9</w:t>
                  </w:r>
                  <w:r>
                    <w:rPr>
                      <w:rFonts w:hint="eastAsia" w:ascii="仿宋" w:hAnsi="仿宋" w:eastAsia="仿宋" w:cs="宋体"/>
                      <w:kern w:val="0"/>
                      <w:sz w:val="24"/>
                      <w:szCs w:val="22"/>
                      <w:lang w:bidi="ar"/>
                    </w:rPr>
                    <w:t>系列处理器</w:t>
                  </w:r>
                </w:p>
                <w:p w14:paraId="6115DFEE">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数据库：支持内部数据库</w:t>
                  </w:r>
                </w:p>
                <w:p w14:paraId="1F3C9AA2">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支持C</w:t>
                  </w:r>
                  <w:r>
                    <w:rPr>
                      <w:rFonts w:ascii="仿宋" w:hAnsi="仿宋" w:eastAsia="仿宋" w:cs="宋体"/>
                      <w:kern w:val="0"/>
                      <w:sz w:val="24"/>
                      <w:szCs w:val="22"/>
                      <w:lang w:bidi="ar"/>
                    </w:rPr>
                    <w:t>#</w:t>
                  </w:r>
                  <w:r>
                    <w:rPr>
                      <w:rFonts w:hint="eastAsia" w:ascii="仿宋" w:hAnsi="仿宋" w:eastAsia="仿宋" w:cs="宋体"/>
                      <w:kern w:val="0"/>
                      <w:sz w:val="24"/>
                      <w:szCs w:val="22"/>
                      <w:lang w:bidi="ar"/>
                    </w:rPr>
                    <w:t>及javascipt脚本语言</w:t>
                  </w:r>
                </w:p>
                <w:p w14:paraId="73050547">
                  <w:pPr>
                    <w:widowControl/>
                    <w:numPr>
                      <w:ilvl w:val="0"/>
                      <w:numId w:val="11"/>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T</w:t>
                  </w:r>
                  <w:r>
                    <w:rPr>
                      <w:rFonts w:ascii="仿宋" w:hAnsi="仿宋" w:eastAsia="仿宋" w:cs="宋体"/>
                      <w:kern w:val="0"/>
                      <w:sz w:val="24"/>
                      <w:szCs w:val="22"/>
                      <w:lang w:bidi="ar"/>
                    </w:rPr>
                    <w:t>CP/</w:t>
                  </w:r>
                  <w:r>
                    <w:rPr>
                      <w:rFonts w:hint="eastAsia" w:ascii="仿宋" w:hAnsi="仿宋" w:eastAsia="仿宋" w:cs="宋体"/>
                      <w:kern w:val="0"/>
                      <w:sz w:val="24"/>
                      <w:szCs w:val="22"/>
                      <w:lang w:bidi="ar"/>
                    </w:rPr>
                    <w:t>IP协议稳定可靠直接连接P</w:t>
                  </w:r>
                  <w:r>
                    <w:rPr>
                      <w:rFonts w:ascii="仿宋" w:hAnsi="仿宋" w:eastAsia="仿宋" w:cs="宋体"/>
                      <w:kern w:val="0"/>
                      <w:sz w:val="24"/>
                      <w:szCs w:val="22"/>
                      <w:lang w:bidi="ar"/>
                    </w:rPr>
                    <w:t>LC</w:t>
                  </w:r>
                  <w:r>
                    <w:rPr>
                      <w:rFonts w:hint="eastAsia" w:ascii="仿宋" w:hAnsi="仿宋" w:eastAsia="仿宋" w:cs="宋体"/>
                      <w:kern w:val="0"/>
                      <w:sz w:val="24"/>
                      <w:szCs w:val="22"/>
                      <w:lang w:bidi="ar"/>
                    </w:rPr>
                    <w:t>子站数目： &gt;</w:t>
                  </w:r>
                  <w:r>
                    <w:rPr>
                      <w:rFonts w:ascii="仿宋" w:hAnsi="仿宋" w:eastAsia="仿宋" w:cs="宋体"/>
                      <w:kern w:val="0"/>
                      <w:sz w:val="24"/>
                      <w:szCs w:val="22"/>
                      <w:lang w:bidi="ar"/>
                    </w:rPr>
                    <w:t>=</w:t>
                  </w:r>
                  <w:r>
                    <w:rPr>
                      <w:rFonts w:hint="eastAsia" w:ascii="仿宋" w:hAnsi="仿宋" w:eastAsia="仿宋" w:cs="宋体"/>
                      <w:kern w:val="0"/>
                      <w:sz w:val="24"/>
                      <w:szCs w:val="22"/>
                      <w:lang w:bidi="ar"/>
                    </w:rPr>
                    <w:t>6 个PLC子站</w:t>
                  </w:r>
                </w:p>
              </w:tc>
            </w:tr>
            <w:tr w14:paraId="550D184B">
              <w:tblPrEx>
                <w:tblCellMar>
                  <w:top w:w="0" w:type="dxa"/>
                  <w:left w:w="108" w:type="dxa"/>
                  <w:bottom w:w="0" w:type="dxa"/>
                  <w:right w:w="108" w:type="dxa"/>
                </w:tblCellMar>
              </w:tblPrEx>
              <w:trPr>
                <w:trHeight w:val="454" w:hRule="atLeast"/>
              </w:trPr>
              <w:tc>
                <w:tcPr>
                  <w:tcW w:w="455" w:type="pct"/>
                  <w:tcBorders>
                    <w:top w:val="single" w:color="auto" w:sz="4" w:space="0"/>
                    <w:left w:val="single" w:color="auto" w:sz="4" w:space="0"/>
                    <w:bottom w:val="single" w:color="auto" w:sz="4" w:space="0"/>
                    <w:right w:val="single" w:color="auto" w:sz="4" w:space="0"/>
                  </w:tcBorders>
                  <w:vAlign w:val="center"/>
                </w:tcPr>
                <w:p w14:paraId="2F6FDC7E">
                  <w:pPr>
                    <w:widowControl/>
                    <w:jc w:val="center"/>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12</w:t>
                  </w:r>
                </w:p>
              </w:tc>
              <w:tc>
                <w:tcPr>
                  <w:tcW w:w="909" w:type="pct"/>
                  <w:tcBorders>
                    <w:top w:val="single" w:color="auto" w:sz="4" w:space="0"/>
                    <w:left w:val="single" w:color="auto" w:sz="4" w:space="0"/>
                    <w:bottom w:val="single" w:color="auto" w:sz="4" w:space="0"/>
                    <w:right w:val="single" w:color="auto" w:sz="4" w:space="0"/>
                  </w:tcBorders>
                  <w:vAlign w:val="center"/>
                </w:tcPr>
                <w:p w14:paraId="716AACA1">
                  <w:pPr>
                    <w:widowControl/>
                    <w:jc w:val="center"/>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交换机</w:t>
                  </w:r>
                </w:p>
              </w:tc>
              <w:tc>
                <w:tcPr>
                  <w:tcW w:w="3636" w:type="pct"/>
                  <w:tcBorders>
                    <w:top w:val="single" w:color="auto" w:sz="4" w:space="0"/>
                    <w:left w:val="single" w:color="auto" w:sz="4" w:space="0"/>
                    <w:bottom w:val="single" w:color="auto" w:sz="4" w:space="0"/>
                    <w:right w:val="single" w:color="auto" w:sz="4" w:space="0"/>
                  </w:tcBorders>
                  <w:vAlign w:val="center"/>
                </w:tcPr>
                <w:p w14:paraId="246D9B0B">
                  <w:pPr>
                    <w:widowControl/>
                    <w:numPr>
                      <w:ilvl w:val="0"/>
                      <w:numId w:val="12"/>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工作电压:9.6VDC-60VDC</w:t>
                  </w:r>
                </w:p>
                <w:p w14:paraId="1BE1C6E5">
                  <w:pPr>
                    <w:widowControl/>
                    <w:numPr>
                      <w:ilvl w:val="0"/>
                      <w:numId w:val="12"/>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支持冗余双电源输入</w:t>
                  </w:r>
                </w:p>
                <w:p w14:paraId="3F98071F">
                  <w:pPr>
                    <w:widowControl/>
                    <w:numPr>
                      <w:ilvl w:val="0"/>
                      <w:numId w:val="12"/>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安装方式：导轨安装</w:t>
                  </w:r>
                </w:p>
                <w:p w14:paraId="4656187D">
                  <w:pPr>
                    <w:widowControl/>
                    <w:numPr>
                      <w:ilvl w:val="0"/>
                      <w:numId w:val="12"/>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仿宋"/>
                      <w:sz w:val="24"/>
                    </w:rPr>
                    <w:t>1</w:t>
                  </w:r>
                  <w:r>
                    <w:rPr>
                      <w:rFonts w:hint="eastAsia" w:ascii="仿宋" w:hAnsi="仿宋" w:eastAsia="仿宋" w:cs="宋体"/>
                      <w:kern w:val="0"/>
                      <w:sz w:val="24"/>
                      <w:szCs w:val="22"/>
                      <w:lang w:bidi="ar"/>
                    </w:rPr>
                    <w:t>6个接口</w:t>
                  </w:r>
                </w:p>
                <w:p w14:paraId="6FF64049">
                  <w:pPr>
                    <w:widowControl/>
                    <w:numPr>
                      <w:ilvl w:val="0"/>
                      <w:numId w:val="12"/>
                    </w:numPr>
                    <w:spacing w:line="312" w:lineRule="auto"/>
                    <w:jc w:val="left"/>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标准支持IEEE802.3  IEEE802.3u IEEE802.3x</w:t>
                  </w:r>
                </w:p>
              </w:tc>
            </w:tr>
            <w:tr w14:paraId="48ACCECE">
              <w:tblPrEx>
                <w:tblCellMar>
                  <w:top w:w="0" w:type="dxa"/>
                  <w:left w:w="108" w:type="dxa"/>
                  <w:bottom w:w="0" w:type="dxa"/>
                  <w:right w:w="108" w:type="dxa"/>
                </w:tblCellMar>
              </w:tblPrEx>
              <w:trPr>
                <w:trHeight w:val="1322" w:hRule="atLeast"/>
              </w:trPr>
              <w:tc>
                <w:tcPr>
                  <w:tcW w:w="455" w:type="pct"/>
                  <w:tcBorders>
                    <w:top w:val="single" w:color="auto" w:sz="4" w:space="0"/>
                    <w:left w:val="single" w:color="auto" w:sz="4" w:space="0"/>
                    <w:bottom w:val="single" w:color="auto" w:sz="4" w:space="0"/>
                    <w:right w:val="single" w:color="auto" w:sz="4" w:space="0"/>
                  </w:tcBorders>
                  <w:vAlign w:val="center"/>
                </w:tcPr>
                <w:p w14:paraId="7269E51C">
                  <w:pPr>
                    <w:widowControl/>
                    <w:jc w:val="center"/>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1</w:t>
                  </w:r>
                  <w:r>
                    <w:rPr>
                      <w:rFonts w:ascii="仿宋" w:hAnsi="仿宋" w:eastAsia="仿宋" w:cs="宋体"/>
                      <w:kern w:val="0"/>
                      <w:sz w:val="24"/>
                      <w:szCs w:val="22"/>
                      <w:lang w:bidi="ar"/>
                    </w:rPr>
                    <w:t>3</w:t>
                  </w:r>
                </w:p>
              </w:tc>
              <w:tc>
                <w:tcPr>
                  <w:tcW w:w="909" w:type="pct"/>
                  <w:tcBorders>
                    <w:top w:val="single" w:color="auto" w:sz="4" w:space="0"/>
                    <w:left w:val="single" w:color="auto" w:sz="4" w:space="0"/>
                    <w:bottom w:val="single" w:color="auto" w:sz="4" w:space="0"/>
                    <w:right w:val="single" w:color="auto" w:sz="4" w:space="0"/>
                  </w:tcBorders>
                  <w:vAlign w:val="center"/>
                </w:tcPr>
                <w:p w14:paraId="63876AA4">
                  <w:pPr>
                    <w:widowControl/>
                    <w:jc w:val="center"/>
                    <w:textAlignment w:val="center"/>
                    <w:rPr>
                      <w:rFonts w:hint="eastAsia" w:ascii="仿宋" w:hAnsi="仿宋" w:eastAsia="仿宋" w:cs="宋体"/>
                      <w:kern w:val="0"/>
                      <w:sz w:val="24"/>
                    </w:rPr>
                  </w:pPr>
                  <w:r>
                    <w:rPr>
                      <w:rFonts w:hint="eastAsia" w:ascii="仿宋" w:hAnsi="仿宋" w:eastAsia="仿宋" w:cs="宋体"/>
                      <w:kern w:val="0"/>
                      <w:sz w:val="24"/>
                      <w:szCs w:val="22"/>
                      <w:lang w:bidi="ar"/>
                    </w:rPr>
                    <w:t>机柜照明系统</w:t>
                  </w:r>
                </w:p>
              </w:tc>
              <w:tc>
                <w:tcPr>
                  <w:tcW w:w="3636" w:type="pct"/>
                  <w:tcBorders>
                    <w:top w:val="single" w:color="auto" w:sz="4" w:space="0"/>
                    <w:left w:val="single" w:color="auto" w:sz="4" w:space="0"/>
                    <w:bottom w:val="single" w:color="auto" w:sz="4" w:space="0"/>
                    <w:right w:val="single" w:color="auto" w:sz="4" w:space="0"/>
                  </w:tcBorders>
                  <w:vAlign w:val="center"/>
                </w:tcPr>
                <w:p w14:paraId="5D12FF00">
                  <w:pPr>
                    <w:widowControl/>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1、前门、后门各安装一个。</w:t>
                  </w:r>
                </w:p>
                <w:p w14:paraId="3CCD92A5">
                  <w:pPr>
                    <w:widowControl/>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2、安装行程开关控制、开门亮、关门灭。</w:t>
                  </w:r>
                </w:p>
                <w:p w14:paraId="357F9025">
                  <w:pPr>
                    <w:widowControl/>
                    <w:jc w:val="left"/>
                    <w:textAlignment w:val="center"/>
                    <w:rPr>
                      <w:rFonts w:hint="eastAsia" w:ascii="仿宋" w:hAnsi="仿宋" w:eastAsia="仿宋" w:cs="宋体"/>
                      <w:kern w:val="0"/>
                      <w:sz w:val="24"/>
                      <w:lang w:bidi="ar"/>
                    </w:rPr>
                  </w:pPr>
                  <w:r>
                    <w:rPr>
                      <w:rFonts w:hint="eastAsia" w:ascii="仿宋" w:hAnsi="仿宋" w:eastAsia="仿宋" w:cs="宋体"/>
                      <w:kern w:val="0"/>
                      <w:sz w:val="24"/>
                      <w:lang w:bidi="ar"/>
                    </w:rPr>
                    <w:t>3、AC220V供电。</w:t>
                  </w:r>
                </w:p>
                <w:p w14:paraId="79C9AADD">
                  <w:pPr>
                    <w:widowControl/>
                    <w:jc w:val="left"/>
                    <w:textAlignment w:val="center"/>
                    <w:rPr>
                      <w:rFonts w:hint="eastAsia" w:ascii="仿宋" w:hAnsi="仿宋" w:eastAsia="仿宋" w:cs="宋体"/>
                      <w:kern w:val="0"/>
                      <w:sz w:val="24"/>
                      <w:lang w:bidi="ar"/>
                    </w:rPr>
                  </w:pPr>
                  <w:r>
                    <w:rPr>
                      <w:rFonts w:hint="eastAsia" w:ascii="仿宋" w:hAnsi="仿宋" w:eastAsia="仿宋"/>
                      <w:sz w:val="24"/>
                      <w:lang w:bidi="ar"/>
                    </w:rPr>
                    <w:t>4、</w:t>
                  </w:r>
                  <w:r>
                    <w:rPr>
                      <w:rFonts w:hint="eastAsia" w:ascii="仿宋" w:hAnsi="仿宋" w:eastAsia="仿宋" w:cs="宋体"/>
                      <w:sz w:val="24"/>
                      <w:lang w:bidi="ar"/>
                    </w:rPr>
                    <w:t>8W功率LED照明灯管</w:t>
                  </w:r>
                </w:p>
              </w:tc>
            </w:tr>
            <w:tr w14:paraId="2D13018D">
              <w:tblPrEx>
                <w:tblCellMar>
                  <w:top w:w="0" w:type="dxa"/>
                  <w:left w:w="108" w:type="dxa"/>
                  <w:bottom w:w="0" w:type="dxa"/>
                  <w:right w:w="108" w:type="dxa"/>
                </w:tblCellMar>
              </w:tblPrEx>
              <w:trPr>
                <w:trHeight w:val="1975" w:hRule="atLeast"/>
              </w:trPr>
              <w:tc>
                <w:tcPr>
                  <w:tcW w:w="455" w:type="pct"/>
                  <w:tcBorders>
                    <w:top w:val="single" w:color="auto" w:sz="4" w:space="0"/>
                    <w:left w:val="single" w:color="auto" w:sz="4" w:space="0"/>
                    <w:bottom w:val="single" w:color="auto" w:sz="4" w:space="0"/>
                    <w:right w:val="single" w:color="auto" w:sz="4" w:space="0"/>
                  </w:tcBorders>
                  <w:vAlign w:val="center"/>
                </w:tcPr>
                <w:p w14:paraId="28868BAE">
                  <w:pPr>
                    <w:widowControl/>
                    <w:jc w:val="center"/>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14</w:t>
                  </w:r>
                </w:p>
                <w:p w14:paraId="4CA959B1">
                  <w:pPr>
                    <w:rPr>
                      <w:lang w:bidi="ar"/>
                    </w:rPr>
                  </w:pPr>
                </w:p>
                <w:p w14:paraId="17E2C015">
                  <w:pPr>
                    <w:pStyle w:val="2"/>
                    <w:rPr>
                      <w:rFonts w:hint="eastAsia" w:ascii="仿宋" w:hAnsi="仿宋" w:eastAsia="仿宋" w:cs="宋体"/>
                      <w:sz w:val="24"/>
                      <w:szCs w:val="22"/>
                      <w:lang w:bidi="ar"/>
                    </w:rPr>
                  </w:pPr>
                </w:p>
              </w:tc>
              <w:tc>
                <w:tcPr>
                  <w:tcW w:w="909" w:type="pct"/>
                  <w:tcBorders>
                    <w:top w:val="single" w:color="auto" w:sz="4" w:space="0"/>
                    <w:left w:val="single" w:color="auto" w:sz="4" w:space="0"/>
                    <w:bottom w:val="single" w:color="auto" w:sz="4" w:space="0"/>
                    <w:right w:val="single" w:color="auto" w:sz="4" w:space="0"/>
                  </w:tcBorders>
                  <w:vAlign w:val="center"/>
                </w:tcPr>
                <w:p w14:paraId="70EFA4DE">
                  <w:pPr>
                    <w:widowControl/>
                    <w:jc w:val="center"/>
                    <w:textAlignment w:val="center"/>
                    <w:rPr>
                      <w:rFonts w:hint="eastAsia" w:ascii="仿宋" w:hAnsi="仿宋" w:eastAsia="仿宋" w:cs="宋体"/>
                      <w:kern w:val="0"/>
                      <w:sz w:val="24"/>
                      <w:szCs w:val="22"/>
                      <w:lang w:bidi="ar"/>
                    </w:rPr>
                  </w:pPr>
                  <w:r>
                    <w:rPr>
                      <w:rFonts w:hint="eastAsia" w:ascii="仿宋" w:hAnsi="仿宋" w:eastAsia="仿宋" w:cs="宋体"/>
                      <w:kern w:val="0"/>
                      <w:sz w:val="24"/>
                      <w:szCs w:val="22"/>
                      <w:lang w:bidi="ar"/>
                    </w:rPr>
                    <w:t>PLC系统</w:t>
                  </w:r>
                </w:p>
              </w:tc>
              <w:tc>
                <w:tcPr>
                  <w:tcW w:w="3636" w:type="pct"/>
                  <w:tcBorders>
                    <w:top w:val="single" w:color="auto" w:sz="4" w:space="0"/>
                    <w:left w:val="single" w:color="auto" w:sz="4" w:space="0"/>
                    <w:bottom w:val="single" w:color="auto" w:sz="4" w:space="0"/>
                    <w:right w:val="single" w:color="auto" w:sz="4" w:space="0"/>
                  </w:tcBorders>
                  <w:vAlign w:val="center"/>
                </w:tcPr>
                <w:p w14:paraId="3494BE2D">
                  <w:pPr>
                    <w:autoSpaceDE w:val="0"/>
                    <w:autoSpaceDN w:val="0"/>
                    <w:jc w:val="left"/>
                    <w:textAlignment w:val="bottom"/>
                    <w:rPr>
                      <w:rFonts w:hint="eastAsia" w:ascii="仿宋" w:hAnsi="仿宋" w:eastAsia="仿宋" w:cs="宋体"/>
                      <w:kern w:val="0"/>
                      <w:sz w:val="24"/>
                      <w:szCs w:val="22"/>
                      <w:lang w:bidi="ar"/>
                    </w:rPr>
                  </w:pPr>
                  <w:bookmarkStart w:id="1" w:name="OLE_LINK17"/>
                  <w:r>
                    <w:rPr>
                      <w:rFonts w:hint="eastAsia" w:ascii="仿宋" w:hAnsi="仿宋" w:eastAsia="仿宋" w:cs="宋体"/>
                      <w:kern w:val="0"/>
                      <w:sz w:val="24"/>
                      <w:szCs w:val="22"/>
                      <w:lang w:bidi="ar"/>
                    </w:rPr>
                    <w:t>1、</w:t>
                  </w:r>
                  <w:bookmarkEnd w:id="1"/>
                  <w:r>
                    <w:rPr>
                      <w:rFonts w:hint="eastAsia" w:ascii="仿宋" w:hAnsi="仿宋" w:eastAsia="仿宋" w:cs="宋体"/>
                      <w:kern w:val="0"/>
                      <w:sz w:val="24"/>
                      <w:szCs w:val="22"/>
                      <w:lang w:bidi="ar"/>
                    </w:rPr>
                    <w:t>输入通道&gt;</w:t>
                  </w:r>
                  <w:r>
                    <w:rPr>
                      <w:rFonts w:ascii="仿宋" w:hAnsi="仿宋" w:eastAsia="仿宋" w:cs="宋体"/>
                      <w:kern w:val="0"/>
                      <w:sz w:val="24"/>
                      <w:szCs w:val="22"/>
                      <w:lang w:bidi="ar"/>
                    </w:rPr>
                    <w:t>=</w:t>
                  </w:r>
                  <w:r>
                    <w:rPr>
                      <w:rFonts w:hint="eastAsia" w:ascii="仿宋" w:hAnsi="仿宋" w:eastAsia="仿宋" w:cs="宋体"/>
                      <w:kern w:val="0"/>
                      <w:sz w:val="24"/>
                      <w:szCs w:val="22"/>
                      <w:lang w:bidi="ar"/>
                    </w:rPr>
                    <w:t>128路，输出通道&gt;</w:t>
                  </w:r>
                  <w:r>
                    <w:rPr>
                      <w:rFonts w:ascii="仿宋" w:hAnsi="仿宋" w:eastAsia="仿宋" w:cs="宋体"/>
                      <w:kern w:val="0"/>
                      <w:sz w:val="24"/>
                      <w:szCs w:val="22"/>
                      <w:lang w:bidi="ar"/>
                    </w:rPr>
                    <w:t>=</w:t>
                  </w:r>
                  <w:r>
                    <w:rPr>
                      <w:rFonts w:hint="eastAsia" w:ascii="仿宋" w:hAnsi="仿宋" w:eastAsia="仿宋" w:cs="宋体"/>
                      <w:kern w:val="0"/>
                      <w:sz w:val="24"/>
                      <w:szCs w:val="22"/>
                      <w:lang w:bidi="ar"/>
                    </w:rPr>
                    <w:t>32路</w:t>
                  </w:r>
                </w:p>
                <w:p w14:paraId="4950A2FB">
                  <w:pPr>
                    <w:autoSpaceDE w:val="0"/>
                    <w:autoSpaceDN w:val="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2、PLC采用模块化设备，并可根据甲方需求采取不同的组合方式（单套PLC独立运行或扩展至多套PLC并行），便于现场安装和调试。</w:t>
                  </w:r>
                </w:p>
                <w:p w14:paraId="358960D5">
                  <w:pPr>
                    <w:autoSpaceDE w:val="0"/>
                    <w:autoSpaceDN w:val="0"/>
                    <w:jc w:val="left"/>
                    <w:textAlignment w:val="bottom"/>
                    <w:rPr>
                      <w:rFonts w:hint="eastAsia" w:ascii="仿宋" w:hAnsi="仿宋" w:eastAsia="仿宋" w:cs="宋体"/>
                      <w:kern w:val="0"/>
                      <w:sz w:val="24"/>
                      <w:szCs w:val="22"/>
                      <w:lang w:bidi="ar"/>
                    </w:rPr>
                  </w:pPr>
                  <w:bookmarkStart w:id="2" w:name="OLE_LINK18"/>
                  <w:r>
                    <w:rPr>
                      <w:rFonts w:hint="eastAsia" w:ascii="仿宋" w:hAnsi="仿宋" w:eastAsia="仿宋" w:cs="宋体"/>
                      <w:kern w:val="0"/>
                      <w:sz w:val="24"/>
                      <w:szCs w:val="22"/>
                      <w:lang w:bidi="ar"/>
                    </w:rPr>
                    <w:t>3、</w:t>
                  </w:r>
                  <w:bookmarkEnd w:id="2"/>
                  <w:r>
                    <w:rPr>
                      <w:rFonts w:hint="eastAsia" w:ascii="仿宋" w:hAnsi="仿宋" w:eastAsia="仿宋" w:cs="宋体"/>
                      <w:kern w:val="0"/>
                      <w:sz w:val="24"/>
                      <w:szCs w:val="22"/>
                      <w:lang w:bidi="ar"/>
                    </w:rPr>
                    <w:t>所有产品通过CE认证或UL认证</w:t>
                  </w:r>
                </w:p>
                <w:p w14:paraId="7254A990">
                  <w:pPr>
                    <w:autoSpaceDE w:val="0"/>
                    <w:autoSpaceDN w:val="0"/>
                    <w:jc w:val="left"/>
                    <w:textAlignment w:val="bottom"/>
                    <w:rPr>
                      <w:rFonts w:hint="eastAsia" w:ascii="仿宋" w:hAnsi="仿宋" w:eastAsia="仿宋" w:cs="宋体"/>
                      <w:kern w:val="0"/>
                      <w:sz w:val="24"/>
                      <w:szCs w:val="22"/>
                      <w:lang w:bidi="ar"/>
                    </w:rPr>
                  </w:pPr>
                  <w:bookmarkStart w:id="3" w:name="OLE_LINK20"/>
                  <w:r>
                    <w:rPr>
                      <w:rFonts w:hint="eastAsia" w:ascii="仿宋" w:hAnsi="仿宋" w:eastAsia="仿宋" w:cs="宋体"/>
                      <w:kern w:val="0"/>
                      <w:sz w:val="24"/>
                      <w:szCs w:val="22"/>
                      <w:lang w:bidi="ar"/>
                    </w:rPr>
                    <w:t>4、</w:t>
                  </w:r>
                  <w:bookmarkEnd w:id="3"/>
                  <w:r>
                    <w:rPr>
                      <w:rFonts w:hint="eastAsia" w:ascii="仿宋" w:hAnsi="仿宋" w:eastAsia="仿宋" w:cs="宋体"/>
                      <w:kern w:val="0"/>
                      <w:sz w:val="24"/>
                      <w:szCs w:val="22"/>
                      <w:lang w:bidi="ar"/>
                    </w:rPr>
                    <w:t>控制器编程方式符合《可编程逻辑控制器（PLC），DCS，IPC，CNC和SCADA的编程系统的标准》IEC 61131-3或同等级标准</w:t>
                  </w:r>
                </w:p>
                <w:p w14:paraId="34F9DF84">
                  <w:pPr>
                    <w:autoSpaceDE w:val="0"/>
                    <w:autoSpaceDN w:val="0"/>
                    <w:jc w:val="left"/>
                    <w:textAlignment w:val="bottom"/>
                    <w:rPr>
                      <w:rFonts w:hint="eastAsia" w:ascii="仿宋" w:hAnsi="仿宋" w:eastAsia="仿宋" w:cs="宋体"/>
                      <w:kern w:val="0"/>
                      <w:sz w:val="24"/>
                      <w:szCs w:val="22"/>
                      <w:lang w:bidi="ar"/>
                    </w:rPr>
                  </w:pPr>
                  <w:bookmarkStart w:id="4" w:name="OLE_LINK21"/>
                  <w:r>
                    <w:rPr>
                      <w:rFonts w:hint="eastAsia" w:ascii="仿宋" w:hAnsi="仿宋" w:eastAsia="仿宋" w:cs="宋体"/>
                      <w:kern w:val="0"/>
                      <w:sz w:val="24"/>
                      <w:szCs w:val="22"/>
                      <w:lang w:bidi="ar"/>
                    </w:rPr>
                    <w:t>5、</w:t>
                  </w:r>
                  <w:bookmarkEnd w:id="4"/>
                  <w:r>
                    <w:rPr>
                      <w:rFonts w:hint="eastAsia" w:ascii="仿宋" w:hAnsi="仿宋" w:eastAsia="仿宋" w:cs="宋体"/>
                      <w:kern w:val="0"/>
                      <w:sz w:val="24"/>
                      <w:szCs w:val="22"/>
                      <w:lang w:bidi="ar"/>
                    </w:rPr>
                    <w:t>电磁兼容（EMC）：符合EN 61000-6-2或同等级标准</w:t>
                  </w:r>
                </w:p>
                <w:p w14:paraId="71009B80">
                  <w:pPr>
                    <w:autoSpaceDE w:val="0"/>
                    <w:autoSpaceDN w:val="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6、电磁辐射：</w:t>
                  </w:r>
                  <w:bookmarkStart w:id="5" w:name="_Hlk56585264"/>
                  <w:r>
                    <w:rPr>
                      <w:rFonts w:hint="eastAsia" w:ascii="仿宋" w:hAnsi="仿宋" w:eastAsia="仿宋" w:cs="宋体"/>
                      <w:kern w:val="0"/>
                      <w:sz w:val="24"/>
                      <w:szCs w:val="22"/>
                      <w:lang w:bidi="ar"/>
                    </w:rPr>
                    <w:t>符合EN61000-6-4或同等级标准</w:t>
                  </w:r>
                </w:p>
                <w:bookmarkEnd w:id="5"/>
                <w:p w14:paraId="3F5A6174">
                  <w:pPr>
                    <w:autoSpaceDE w:val="0"/>
                    <w:autoSpaceDN w:val="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7、抗振动：</w:t>
                  </w:r>
                  <w:bookmarkStart w:id="6" w:name="_Hlk56585322"/>
                  <w:r>
                    <w:rPr>
                      <w:rFonts w:hint="eastAsia" w:ascii="仿宋" w:hAnsi="仿宋" w:eastAsia="仿宋" w:cs="宋体"/>
                      <w:kern w:val="0"/>
                      <w:sz w:val="24"/>
                      <w:szCs w:val="22"/>
                      <w:lang w:bidi="ar"/>
                    </w:rPr>
                    <w:t>符合EN60068-2-6或同等级标准</w:t>
                  </w:r>
                </w:p>
                <w:bookmarkEnd w:id="6"/>
                <w:p w14:paraId="095984F9">
                  <w:pPr>
                    <w:autoSpaceDE w:val="0"/>
                    <w:autoSpaceDN w:val="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8、防冲击：符合EN60068-2-27或同等级标准</w:t>
                  </w:r>
                </w:p>
                <w:p w14:paraId="4A4EF22A">
                  <w:pPr>
                    <w:autoSpaceDE w:val="0"/>
                    <w:autoSpaceDN w:val="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9、CPU模块</w:t>
                  </w:r>
                </w:p>
                <w:p w14:paraId="51AD0774">
                  <w:pPr>
                    <w:autoSpaceDE w:val="0"/>
                    <w:autoSpaceDN w:val="0"/>
                    <w:ind w:left="44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9</w:t>
                  </w:r>
                  <w:r>
                    <w:rPr>
                      <w:rFonts w:ascii="仿宋" w:hAnsi="仿宋" w:eastAsia="仿宋" w:cs="宋体"/>
                      <w:kern w:val="0"/>
                      <w:sz w:val="24"/>
                      <w:szCs w:val="22"/>
                      <w:lang w:bidi="ar"/>
                    </w:rPr>
                    <w:t>.</w:t>
                  </w:r>
                  <w:r>
                    <w:rPr>
                      <w:rFonts w:hint="eastAsia" w:ascii="仿宋" w:hAnsi="仿宋" w:eastAsia="仿宋" w:cs="宋体"/>
                      <w:kern w:val="0"/>
                      <w:sz w:val="24"/>
                      <w:szCs w:val="22"/>
                      <w:lang w:bidi="ar"/>
                    </w:rPr>
                    <w:t>1 内存容量大于200K，支持市售存储卡进行数据、程序和日志文件存储。</w:t>
                  </w:r>
                </w:p>
                <w:p w14:paraId="7603D0F1">
                  <w:pPr>
                    <w:autoSpaceDE w:val="0"/>
                    <w:autoSpaceDN w:val="0"/>
                    <w:ind w:left="44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9.2 自带至少1个RJ45 100Mbps网络接口，支持以太网功能。</w:t>
                  </w:r>
                </w:p>
                <w:p w14:paraId="0B73ABA9">
                  <w:pPr>
                    <w:autoSpaceDE w:val="0"/>
                    <w:autoSpaceDN w:val="0"/>
                    <w:ind w:left="44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9.3 具备USB接口。</w:t>
                  </w:r>
                </w:p>
                <w:p w14:paraId="6F8D1A7B">
                  <w:pPr>
                    <w:autoSpaceDE w:val="0"/>
                    <w:autoSpaceDN w:val="0"/>
                    <w:ind w:left="44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9</w:t>
                  </w:r>
                  <w:r>
                    <w:rPr>
                      <w:rFonts w:ascii="仿宋" w:hAnsi="仿宋" w:eastAsia="仿宋" w:cs="宋体"/>
                      <w:kern w:val="0"/>
                      <w:sz w:val="24"/>
                      <w:szCs w:val="22"/>
                      <w:lang w:bidi="ar"/>
                    </w:rPr>
                    <w:t>.</w:t>
                  </w:r>
                  <w:r>
                    <w:rPr>
                      <w:rFonts w:hint="eastAsia" w:ascii="仿宋" w:hAnsi="仿宋" w:eastAsia="仿宋" w:cs="宋体"/>
                      <w:kern w:val="0"/>
                      <w:sz w:val="24"/>
                      <w:szCs w:val="22"/>
                      <w:lang w:bidi="ar"/>
                    </w:rPr>
                    <w:t>4</w:t>
                  </w:r>
                  <w:r>
                    <w:rPr>
                      <w:rFonts w:ascii="仿宋" w:hAnsi="仿宋" w:eastAsia="仿宋" w:cs="宋体"/>
                      <w:kern w:val="0"/>
                      <w:sz w:val="24"/>
                      <w:szCs w:val="22"/>
                      <w:lang w:bidi="ar"/>
                    </w:rPr>
                    <w:t xml:space="preserve"> </w:t>
                  </w:r>
                  <w:r>
                    <w:rPr>
                      <w:rFonts w:hint="eastAsia" w:ascii="仿宋" w:hAnsi="仿宋" w:eastAsia="仿宋" w:cs="宋体"/>
                      <w:kern w:val="0"/>
                      <w:sz w:val="24"/>
                      <w:szCs w:val="22"/>
                      <w:lang w:bidi="ar"/>
                    </w:rPr>
                    <w:t>基本指令小于0.0</w:t>
                  </w:r>
                  <w:r>
                    <w:rPr>
                      <w:rFonts w:ascii="仿宋" w:hAnsi="仿宋" w:eastAsia="仿宋" w:cs="宋体"/>
                      <w:kern w:val="0"/>
                      <w:sz w:val="24"/>
                      <w:szCs w:val="22"/>
                      <w:lang w:bidi="ar"/>
                    </w:rPr>
                    <w:t>1</w:t>
                  </w:r>
                  <w:r>
                    <w:rPr>
                      <w:rFonts w:hint="eastAsia" w:ascii="仿宋" w:hAnsi="仿宋" w:eastAsia="仿宋" w:cs="宋体"/>
                      <w:kern w:val="0"/>
                      <w:sz w:val="24"/>
                      <w:szCs w:val="22"/>
                      <w:lang w:bidi="ar"/>
                    </w:rPr>
                    <w:t>微秒</w:t>
                  </w:r>
                </w:p>
                <w:p w14:paraId="133DC158">
                  <w:pPr>
                    <w:autoSpaceDE w:val="0"/>
                    <w:autoSpaceDN w:val="0"/>
                    <w:ind w:left="440"/>
                    <w:jc w:val="left"/>
                    <w:textAlignment w:val="bottom"/>
                    <w:rPr>
                      <w:rFonts w:hint="eastAsia" w:ascii="仿宋" w:hAnsi="仿宋" w:eastAsia="仿宋" w:cs="宋体"/>
                      <w:sz w:val="24"/>
                      <w:szCs w:val="22"/>
                      <w:lang w:bidi="ar"/>
                    </w:rPr>
                  </w:pPr>
                  <w:r>
                    <w:rPr>
                      <w:rFonts w:hint="eastAsia" w:ascii="仿宋" w:hAnsi="仿宋" w:eastAsia="仿宋" w:cs="宋体"/>
                      <w:sz w:val="24"/>
                      <w:szCs w:val="22"/>
                      <w:lang w:bidi="ar"/>
                    </w:rPr>
                    <w:t>9</w:t>
                  </w:r>
                  <w:r>
                    <w:rPr>
                      <w:rFonts w:ascii="仿宋" w:hAnsi="仿宋" w:eastAsia="仿宋" w:cs="宋体"/>
                      <w:sz w:val="24"/>
                      <w:szCs w:val="22"/>
                      <w:lang w:bidi="ar"/>
                    </w:rPr>
                    <w:t>.</w:t>
                  </w:r>
                  <w:r>
                    <w:rPr>
                      <w:rFonts w:hint="eastAsia" w:ascii="仿宋" w:hAnsi="仿宋" w:eastAsia="仿宋" w:cs="宋体"/>
                      <w:sz w:val="24"/>
                      <w:szCs w:val="22"/>
                      <w:lang w:bidi="ar"/>
                    </w:rPr>
                    <w:t>5 应用指令运算时间小于0</w:t>
                  </w:r>
                  <w:r>
                    <w:rPr>
                      <w:rFonts w:ascii="仿宋" w:hAnsi="仿宋" w:eastAsia="仿宋" w:cs="宋体"/>
                      <w:sz w:val="24"/>
                      <w:szCs w:val="22"/>
                      <w:lang w:bidi="ar"/>
                    </w:rPr>
                    <w:t>.01</w:t>
                  </w:r>
                  <w:r>
                    <w:rPr>
                      <w:rFonts w:hint="eastAsia" w:ascii="仿宋" w:hAnsi="仿宋" w:eastAsia="仿宋" w:cs="宋体"/>
                      <w:sz w:val="24"/>
                      <w:szCs w:val="22"/>
                      <w:lang w:bidi="ar"/>
                    </w:rPr>
                    <w:t>微秒</w:t>
                  </w:r>
                </w:p>
                <w:p w14:paraId="432F0CBC">
                  <w:pPr>
                    <w:autoSpaceDE w:val="0"/>
                    <w:autoSpaceDN w:val="0"/>
                    <w:jc w:val="left"/>
                    <w:textAlignment w:val="bottom"/>
                    <w:rPr>
                      <w:rFonts w:hint="eastAsia" w:ascii="仿宋" w:hAnsi="仿宋" w:eastAsia="仿宋" w:cs="宋体"/>
                      <w:kern w:val="0"/>
                      <w:sz w:val="24"/>
                      <w:szCs w:val="22"/>
                      <w:lang w:bidi="ar"/>
                    </w:rPr>
                  </w:pPr>
                  <w:r>
                    <w:rPr>
                      <w:rFonts w:hint="eastAsia" w:ascii="仿宋" w:hAnsi="仿宋" w:eastAsia="仿宋" w:cs="宋体"/>
                      <w:sz w:val="24"/>
                      <w:szCs w:val="22"/>
                      <w:lang w:bidi="ar"/>
                    </w:rPr>
                    <w:t>10 、安装底板/机架</w:t>
                  </w:r>
                </w:p>
                <w:p w14:paraId="7F0851DF">
                  <w:pPr>
                    <w:autoSpaceDE w:val="0"/>
                    <w:autoSpaceDN w:val="0"/>
                    <w:ind w:left="44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底板/机架需提供不少于13个模块的槽位，并可根据现场需求在标准机柜或相应场合方便灵活的进行安装。如为机架式安装方式，机架安装长度应在500mm左右。</w:t>
                  </w:r>
                </w:p>
                <w:p w14:paraId="7D39E672">
                  <w:pPr>
                    <w:autoSpaceDE w:val="0"/>
                    <w:autoSpaceDN w:val="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11、电源模块</w:t>
                  </w:r>
                </w:p>
                <w:p w14:paraId="314AAF28">
                  <w:pPr>
                    <w:autoSpaceDE w:val="0"/>
                    <w:autoSpaceDN w:val="0"/>
                    <w:ind w:left="44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11.1输入电压为220V AC。</w:t>
                  </w:r>
                </w:p>
                <w:p w14:paraId="192E623B">
                  <w:pPr>
                    <w:autoSpaceDE w:val="0"/>
                    <w:autoSpaceDN w:val="0"/>
                    <w:ind w:left="44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11.2输出电压为24V DC，输出电流大于等于5A。</w:t>
                  </w:r>
                </w:p>
                <w:p w14:paraId="237B3CF7">
                  <w:pPr>
                    <w:autoSpaceDE w:val="0"/>
                    <w:autoSpaceDN w:val="0"/>
                    <w:ind w:left="44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11.3 数字量输入/输出模块</w:t>
                  </w:r>
                </w:p>
                <w:p w14:paraId="49DE86CD">
                  <w:pPr>
                    <w:autoSpaceDE w:val="0"/>
                    <w:autoSpaceDN w:val="0"/>
                    <w:ind w:left="44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 xml:space="preserve">11.4 输入输出通道≥8 </w:t>
                  </w:r>
                </w:p>
                <w:p w14:paraId="78E653B7">
                  <w:pPr>
                    <w:autoSpaceDE w:val="0"/>
                    <w:autoSpaceDN w:val="0"/>
                    <w:ind w:left="44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11.5 触点电流≤2A</w:t>
                  </w:r>
                </w:p>
                <w:p w14:paraId="5D053D71">
                  <w:pPr>
                    <w:autoSpaceDE w:val="0"/>
                    <w:autoSpaceDN w:val="0"/>
                    <w:ind w:left="440"/>
                    <w:jc w:val="left"/>
                    <w:textAlignment w:val="bottom"/>
                    <w:rPr>
                      <w:rFonts w:hint="eastAsia" w:ascii="仿宋" w:hAnsi="仿宋" w:eastAsia="仿宋" w:cs="宋体"/>
                      <w:kern w:val="0"/>
                      <w:sz w:val="24"/>
                      <w:szCs w:val="22"/>
                      <w:lang w:bidi="ar"/>
                    </w:rPr>
                  </w:pPr>
                  <w:r>
                    <w:rPr>
                      <w:rFonts w:hint="eastAsia" w:ascii="仿宋" w:hAnsi="仿宋" w:eastAsia="仿宋" w:cs="宋体"/>
                      <w:kern w:val="0"/>
                      <w:sz w:val="24"/>
                      <w:szCs w:val="22"/>
                      <w:lang w:bidi="ar"/>
                    </w:rPr>
                    <w:t>11.6 模块自身具备良好的隔离功能，各通道独立继电器输入/输出。</w:t>
                  </w:r>
                </w:p>
              </w:tc>
            </w:tr>
            <w:bookmarkEnd w:id="0"/>
          </w:tbl>
          <w:p w14:paraId="7FBF0AF5">
            <w:pPr>
              <w:tabs>
                <w:tab w:val="left" w:pos="6915"/>
              </w:tabs>
              <w:rPr>
                <w:rFonts w:hint="eastAsia" w:ascii="宋体" w:hAnsi="宋体" w:cs="宋体"/>
                <w:bCs/>
                <w:sz w:val="24"/>
              </w:rPr>
            </w:pPr>
            <w:r>
              <w:rPr>
                <w:rFonts w:hint="eastAsia" w:ascii="宋体" w:hAnsi="宋体" w:cs="宋体"/>
                <w:bCs/>
                <w:sz w:val="24"/>
              </w:rPr>
              <w:t>阀门联锁保护系统所用的线缆RVVP线缆需求如下：</w:t>
            </w:r>
          </w:p>
          <w:p w14:paraId="3DF2C806">
            <w:pPr>
              <w:tabs>
                <w:tab w:val="left" w:pos="6915"/>
              </w:tabs>
              <w:jc w:val="center"/>
              <w:rPr>
                <w:rFonts w:hint="eastAsia" w:ascii="宋体" w:hAnsi="宋体" w:cs="宋体"/>
                <w:bCs/>
                <w:sz w:val="24"/>
              </w:rPr>
            </w:pPr>
            <w:r>
              <w:rPr>
                <w:rFonts w:hint="eastAsia" w:ascii="宋体" w:hAnsi="宋体" w:cs="宋体"/>
                <w:bCs/>
                <w:sz w:val="24"/>
              </w:rPr>
              <w:t>表2 阀门联锁保护系统线缆</w:t>
            </w:r>
          </w:p>
          <w:tbl>
            <w:tblPr>
              <w:tblStyle w:val="6"/>
              <w:tblW w:w="5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1"/>
              <w:gridCol w:w="1916"/>
              <w:gridCol w:w="1205"/>
              <w:gridCol w:w="866"/>
            </w:tblGrid>
            <w:tr w14:paraId="1F350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1031" w:type="dxa"/>
                  <w:shd w:val="clear" w:color="auto" w:fill="FFFFFF"/>
                  <w:vAlign w:val="center"/>
                </w:tcPr>
                <w:p w14:paraId="33CB6AB1">
                  <w:pPr>
                    <w:jc w:val="center"/>
                    <w:rPr>
                      <w:rStyle w:val="13"/>
                      <w:rFonts w:hint="eastAsia" w:ascii="宋体" w:hAnsi="宋体" w:eastAsia="宋体"/>
                      <w:b w:val="0"/>
                      <w:bCs w:val="0"/>
                      <w:sz w:val="24"/>
                      <w:szCs w:val="24"/>
                    </w:rPr>
                  </w:pPr>
                  <w:r>
                    <w:rPr>
                      <w:rStyle w:val="13"/>
                      <w:rFonts w:hint="eastAsia" w:ascii="宋体" w:hAnsi="宋体" w:eastAsia="宋体"/>
                      <w:b w:val="0"/>
                      <w:bCs w:val="0"/>
                      <w:sz w:val="24"/>
                      <w:szCs w:val="24"/>
                    </w:rPr>
                    <w:t>序号</w:t>
                  </w:r>
                </w:p>
              </w:tc>
              <w:tc>
                <w:tcPr>
                  <w:tcW w:w="1916" w:type="dxa"/>
                  <w:shd w:val="clear" w:color="auto" w:fill="FFFFFF"/>
                  <w:tcMar>
                    <w:top w:w="15" w:type="dxa"/>
                    <w:left w:w="108" w:type="dxa"/>
                    <w:bottom w:w="0" w:type="dxa"/>
                    <w:right w:w="108" w:type="dxa"/>
                  </w:tcMar>
                  <w:vAlign w:val="center"/>
                </w:tcPr>
                <w:p w14:paraId="1DC8CBF7">
                  <w:pPr>
                    <w:jc w:val="center"/>
                    <w:rPr>
                      <w:rStyle w:val="13"/>
                      <w:rFonts w:hint="eastAsia" w:ascii="宋体" w:hAnsi="宋体" w:eastAsia="宋体"/>
                      <w:b w:val="0"/>
                      <w:bCs w:val="0"/>
                      <w:sz w:val="24"/>
                      <w:szCs w:val="24"/>
                    </w:rPr>
                  </w:pPr>
                  <w:r>
                    <w:rPr>
                      <w:rStyle w:val="13"/>
                      <w:rFonts w:ascii="宋体" w:hAnsi="宋体" w:eastAsia="宋体"/>
                      <w:b w:val="0"/>
                      <w:bCs w:val="0"/>
                      <w:sz w:val="24"/>
                      <w:szCs w:val="24"/>
                    </w:rPr>
                    <w:t>规格</w:t>
                  </w:r>
                </w:p>
              </w:tc>
              <w:tc>
                <w:tcPr>
                  <w:tcW w:w="1205" w:type="dxa"/>
                  <w:shd w:val="clear" w:color="auto" w:fill="FFFFFF"/>
                  <w:tcMar>
                    <w:top w:w="15" w:type="dxa"/>
                    <w:left w:w="108" w:type="dxa"/>
                    <w:bottom w:w="0" w:type="dxa"/>
                    <w:right w:w="108" w:type="dxa"/>
                  </w:tcMar>
                  <w:vAlign w:val="center"/>
                </w:tcPr>
                <w:p w14:paraId="3B457708">
                  <w:pPr>
                    <w:jc w:val="center"/>
                    <w:rPr>
                      <w:rStyle w:val="13"/>
                      <w:rFonts w:hint="eastAsia" w:ascii="宋体" w:hAnsi="宋体" w:eastAsia="宋体"/>
                      <w:b w:val="0"/>
                      <w:bCs w:val="0"/>
                      <w:sz w:val="24"/>
                      <w:szCs w:val="24"/>
                    </w:rPr>
                  </w:pPr>
                  <w:r>
                    <w:rPr>
                      <w:rStyle w:val="13"/>
                      <w:rFonts w:hint="eastAsia" w:ascii="宋体" w:hAnsi="宋体" w:eastAsia="宋体"/>
                      <w:b w:val="0"/>
                      <w:bCs w:val="0"/>
                      <w:sz w:val="24"/>
                      <w:szCs w:val="24"/>
                    </w:rPr>
                    <w:t>长度（</w:t>
                  </w:r>
                  <w:r>
                    <w:rPr>
                      <w:rStyle w:val="13"/>
                      <w:rFonts w:ascii="宋体" w:hAnsi="宋体" w:eastAsia="宋体"/>
                      <w:b w:val="0"/>
                      <w:bCs w:val="0"/>
                      <w:sz w:val="24"/>
                      <w:szCs w:val="24"/>
                    </w:rPr>
                    <w:t>m</w:t>
                  </w:r>
                  <w:r>
                    <w:rPr>
                      <w:rStyle w:val="13"/>
                      <w:rFonts w:hint="eastAsia" w:ascii="宋体" w:hAnsi="宋体" w:eastAsia="宋体"/>
                      <w:b w:val="0"/>
                      <w:bCs w:val="0"/>
                      <w:sz w:val="24"/>
                      <w:szCs w:val="24"/>
                    </w:rPr>
                    <w:t>）</w:t>
                  </w:r>
                </w:p>
              </w:tc>
              <w:tc>
                <w:tcPr>
                  <w:tcW w:w="866" w:type="dxa"/>
                  <w:shd w:val="clear" w:color="auto" w:fill="FFFFFF"/>
                  <w:vAlign w:val="center"/>
                </w:tcPr>
                <w:p w14:paraId="72F43F80">
                  <w:pPr>
                    <w:jc w:val="center"/>
                    <w:rPr>
                      <w:rStyle w:val="13"/>
                      <w:rFonts w:hint="eastAsia" w:ascii="宋体" w:hAnsi="宋体" w:eastAsia="宋体"/>
                      <w:b w:val="0"/>
                      <w:bCs w:val="0"/>
                      <w:sz w:val="24"/>
                      <w:szCs w:val="24"/>
                    </w:rPr>
                  </w:pPr>
                  <w:r>
                    <w:rPr>
                      <w:rStyle w:val="13"/>
                      <w:rFonts w:hint="eastAsia" w:ascii="宋体" w:hAnsi="宋体" w:eastAsia="宋体"/>
                      <w:b w:val="0"/>
                      <w:bCs w:val="0"/>
                      <w:sz w:val="24"/>
                      <w:szCs w:val="24"/>
                    </w:rPr>
                    <w:t>备注</w:t>
                  </w:r>
                </w:p>
              </w:tc>
            </w:tr>
            <w:tr w14:paraId="7749A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6" w:hRule="atLeast"/>
                <w:jc w:val="center"/>
              </w:trPr>
              <w:tc>
                <w:tcPr>
                  <w:tcW w:w="1031" w:type="dxa"/>
                  <w:shd w:val="clear" w:color="auto" w:fill="FFFFFF"/>
                  <w:vAlign w:val="center"/>
                </w:tcPr>
                <w:p w14:paraId="50D864DD">
                  <w:pPr>
                    <w:jc w:val="center"/>
                    <w:rPr>
                      <w:rStyle w:val="13"/>
                      <w:rFonts w:hint="eastAsia" w:ascii="宋体" w:hAnsi="宋体" w:eastAsia="宋体"/>
                      <w:b w:val="0"/>
                      <w:bCs w:val="0"/>
                      <w:sz w:val="24"/>
                      <w:szCs w:val="24"/>
                    </w:rPr>
                  </w:pPr>
                  <w:r>
                    <w:rPr>
                      <w:rStyle w:val="13"/>
                      <w:rFonts w:hint="eastAsia" w:ascii="宋体" w:hAnsi="宋体" w:eastAsia="宋体"/>
                      <w:b w:val="0"/>
                      <w:bCs w:val="0"/>
                      <w:sz w:val="24"/>
                      <w:szCs w:val="24"/>
                    </w:rPr>
                    <w:t>1</w:t>
                  </w:r>
                </w:p>
              </w:tc>
              <w:tc>
                <w:tcPr>
                  <w:tcW w:w="1916" w:type="dxa"/>
                  <w:shd w:val="clear" w:color="auto" w:fill="FFFFFF"/>
                  <w:tcMar>
                    <w:top w:w="15" w:type="dxa"/>
                    <w:left w:w="108" w:type="dxa"/>
                    <w:bottom w:w="0" w:type="dxa"/>
                    <w:right w:w="108" w:type="dxa"/>
                  </w:tcMar>
                  <w:vAlign w:val="center"/>
                </w:tcPr>
                <w:p w14:paraId="18A26407">
                  <w:pPr>
                    <w:jc w:val="center"/>
                    <w:rPr>
                      <w:rStyle w:val="13"/>
                      <w:rFonts w:hint="eastAsia" w:ascii="宋体" w:hAnsi="宋体" w:eastAsia="宋体"/>
                      <w:b w:val="0"/>
                      <w:bCs w:val="0"/>
                      <w:sz w:val="24"/>
                      <w:szCs w:val="24"/>
                    </w:rPr>
                  </w:pPr>
                  <w:r>
                    <w:rPr>
                      <w:rStyle w:val="13"/>
                      <w:rFonts w:hint="eastAsia" w:ascii="宋体" w:hAnsi="宋体" w:eastAsia="宋体"/>
                      <w:b w:val="0"/>
                      <w:bCs w:val="0"/>
                      <w:sz w:val="24"/>
                      <w:szCs w:val="24"/>
                    </w:rPr>
                    <w:t>多芯屏蔽</w:t>
                  </w:r>
                  <w:r>
                    <w:rPr>
                      <w:rStyle w:val="13"/>
                      <w:rFonts w:ascii="宋体" w:hAnsi="宋体" w:eastAsia="宋体"/>
                      <w:b w:val="0"/>
                      <w:bCs w:val="0"/>
                      <w:sz w:val="24"/>
                      <w:szCs w:val="24"/>
                    </w:rPr>
                    <w:t>RVVP 10*0.3</w:t>
                  </w:r>
                </w:p>
              </w:tc>
              <w:tc>
                <w:tcPr>
                  <w:tcW w:w="1205" w:type="dxa"/>
                  <w:shd w:val="clear" w:color="auto" w:fill="FFFFFF"/>
                  <w:tcMar>
                    <w:top w:w="15" w:type="dxa"/>
                    <w:left w:w="108" w:type="dxa"/>
                    <w:bottom w:w="0" w:type="dxa"/>
                    <w:right w:w="108" w:type="dxa"/>
                  </w:tcMar>
                  <w:vAlign w:val="center"/>
                </w:tcPr>
                <w:p w14:paraId="28E4300B">
                  <w:pPr>
                    <w:jc w:val="center"/>
                    <w:rPr>
                      <w:rStyle w:val="13"/>
                      <w:rFonts w:hint="eastAsia" w:ascii="宋体" w:hAnsi="宋体" w:eastAsia="宋体"/>
                      <w:b w:val="0"/>
                      <w:bCs w:val="0"/>
                      <w:sz w:val="24"/>
                      <w:szCs w:val="24"/>
                    </w:rPr>
                  </w:pPr>
                  <w:r>
                    <w:rPr>
                      <w:rStyle w:val="13"/>
                      <w:rFonts w:ascii="宋体" w:hAnsi="宋体" w:eastAsia="宋体"/>
                      <w:b w:val="0"/>
                      <w:bCs w:val="0"/>
                      <w:sz w:val="24"/>
                      <w:szCs w:val="24"/>
                    </w:rPr>
                    <w:t>1</w:t>
                  </w:r>
                  <w:r>
                    <w:rPr>
                      <w:rStyle w:val="13"/>
                      <w:rFonts w:hint="eastAsia" w:ascii="宋体" w:hAnsi="宋体" w:eastAsia="宋体"/>
                      <w:b w:val="0"/>
                      <w:bCs w:val="0"/>
                      <w:sz w:val="24"/>
                      <w:szCs w:val="24"/>
                    </w:rPr>
                    <w:t>3000</w:t>
                  </w:r>
                </w:p>
              </w:tc>
              <w:tc>
                <w:tcPr>
                  <w:tcW w:w="866" w:type="dxa"/>
                  <w:shd w:val="clear" w:color="auto" w:fill="FFFFFF"/>
                  <w:vAlign w:val="center"/>
                </w:tcPr>
                <w:p w14:paraId="5513E51F">
                  <w:pPr>
                    <w:jc w:val="center"/>
                    <w:rPr>
                      <w:rStyle w:val="13"/>
                      <w:rFonts w:hint="eastAsia" w:ascii="宋体" w:hAnsi="宋体" w:eastAsia="宋体"/>
                      <w:b w:val="0"/>
                      <w:bCs w:val="0"/>
                      <w:sz w:val="24"/>
                      <w:szCs w:val="24"/>
                    </w:rPr>
                  </w:pPr>
                  <w:r>
                    <w:rPr>
                      <w:rStyle w:val="13"/>
                      <w:rFonts w:hint="eastAsia" w:ascii="宋体" w:hAnsi="宋体" w:eastAsia="宋体"/>
                      <w:b w:val="0"/>
                      <w:bCs w:val="0"/>
                      <w:sz w:val="24"/>
                      <w:szCs w:val="24"/>
                    </w:rPr>
                    <w:t>10种不同颜色</w:t>
                  </w:r>
                </w:p>
              </w:tc>
            </w:tr>
          </w:tbl>
          <w:p w14:paraId="4A67EB7F">
            <w:pPr>
              <w:tabs>
                <w:tab w:val="left" w:pos="6915"/>
              </w:tabs>
              <w:rPr>
                <w:rFonts w:hint="eastAsia" w:ascii="宋体" w:hAnsi="宋体" w:cs="宋体"/>
                <w:bCs/>
                <w:sz w:val="24"/>
              </w:rPr>
            </w:pPr>
          </w:p>
          <w:p w14:paraId="448F73CC">
            <w:pPr>
              <w:tabs>
                <w:tab w:val="left" w:pos="6915"/>
              </w:tabs>
              <w:rPr>
                <w:rFonts w:hint="eastAsia" w:ascii="宋体" w:hAnsi="宋体" w:cs="宋体"/>
                <w:b/>
                <w:sz w:val="24"/>
              </w:rPr>
            </w:pPr>
            <w:r>
              <w:rPr>
                <w:rFonts w:hint="eastAsia" w:ascii="宋体" w:hAnsi="宋体" w:cs="宋体"/>
                <w:b/>
                <w:sz w:val="24"/>
              </w:rPr>
              <w:t>2.2 PLC触摸屏软件技术要求：</w:t>
            </w:r>
          </w:p>
          <w:p w14:paraId="4E5A28AF">
            <w:pPr>
              <w:tabs>
                <w:tab w:val="left" w:pos="6915"/>
              </w:tabs>
              <w:ind w:firstLine="480" w:firstLineChars="200"/>
              <w:rPr>
                <w:rFonts w:hint="eastAsia" w:ascii="宋体" w:hAnsi="宋体" w:cs="宋体"/>
                <w:bCs/>
                <w:sz w:val="24"/>
              </w:rPr>
            </w:pPr>
            <w:r>
              <w:rPr>
                <w:rFonts w:hint="eastAsia" w:ascii="宋体" w:hAnsi="宋体" w:cs="宋体"/>
                <w:bCs/>
                <w:sz w:val="24"/>
              </w:rPr>
              <w:t>根据真空阀门联锁逻辑，开发相应的PLC程序，安全可靠的控制对应的真空阀门，保护真空系统，程序的主要技术要求如下：</w:t>
            </w:r>
          </w:p>
          <w:p w14:paraId="73D797AA">
            <w:pPr>
              <w:tabs>
                <w:tab w:val="left" w:pos="6915"/>
              </w:tabs>
              <w:ind w:firstLine="480" w:firstLineChars="200"/>
              <w:rPr>
                <w:rFonts w:hint="eastAsia" w:ascii="宋体" w:hAnsi="宋体" w:cs="宋体"/>
                <w:bCs/>
                <w:sz w:val="24"/>
              </w:rPr>
            </w:pPr>
            <w:r>
              <w:rPr>
                <w:rFonts w:hint="eastAsia" w:ascii="宋体" w:hAnsi="宋体" w:cs="宋体"/>
                <w:bCs/>
                <w:sz w:val="24"/>
              </w:rPr>
              <w:t>(1) 能够准确的采集真空规和真空阀门信号，采集周期≤10毫秒;</w:t>
            </w:r>
          </w:p>
          <w:p w14:paraId="30E249A6">
            <w:pPr>
              <w:tabs>
                <w:tab w:val="left" w:pos="6915"/>
              </w:tabs>
              <w:ind w:firstLine="480" w:firstLineChars="200"/>
              <w:rPr>
                <w:rFonts w:hint="eastAsia" w:ascii="宋体" w:hAnsi="宋体" w:cs="宋体"/>
                <w:bCs/>
                <w:sz w:val="24"/>
              </w:rPr>
            </w:pPr>
            <w:r>
              <w:rPr>
                <w:rFonts w:hint="eastAsia" w:ascii="宋体" w:hAnsi="宋体" w:cs="宋体"/>
                <w:bCs/>
                <w:sz w:val="24"/>
              </w:rPr>
              <w:t>(2) 按照逻辑准确的控制真空阀门，保护真空系统;</w:t>
            </w:r>
          </w:p>
          <w:p w14:paraId="74302690">
            <w:pPr>
              <w:tabs>
                <w:tab w:val="left" w:pos="6915"/>
              </w:tabs>
              <w:ind w:firstLine="480" w:firstLineChars="200"/>
              <w:rPr>
                <w:rFonts w:hint="eastAsia" w:ascii="宋体" w:hAnsi="宋体" w:cs="宋体"/>
                <w:bCs/>
                <w:sz w:val="24"/>
              </w:rPr>
            </w:pPr>
            <w:r>
              <w:rPr>
                <w:rFonts w:hint="eastAsia" w:ascii="宋体" w:hAnsi="宋体" w:cs="宋体"/>
                <w:bCs/>
                <w:sz w:val="24"/>
              </w:rPr>
              <w:t>(3) 按照要求读取PLC变量并转换为符合甲方命名规则的EPICS PV;</w:t>
            </w:r>
          </w:p>
          <w:p w14:paraId="76446A87">
            <w:pPr>
              <w:tabs>
                <w:tab w:val="left" w:pos="6915"/>
              </w:tabs>
              <w:ind w:firstLine="480" w:firstLineChars="200"/>
              <w:rPr>
                <w:rFonts w:hint="eastAsia" w:ascii="宋体" w:hAnsi="宋体" w:cs="宋体"/>
                <w:bCs/>
                <w:sz w:val="24"/>
              </w:rPr>
            </w:pPr>
            <w:r>
              <w:rPr>
                <w:rFonts w:hint="eastAsia" w:ascii="宋体" w:hAnsi="宋体" w:cs="宋体"/>
                <w:bCs/>
                <w:sz w:val="24"/>
              </w:rPr>
              <w:t>(4) 联锁状态下，阀门关闭的同时，给机器联锁保护系统（MPS）对应的信号。</w:t>
            </w:r>
          </w:p>
          <w:p w14:paraId="39B7C5F0">
            <w:pPr>
              <w:tabs>
                <w:tab w:val="left" w:pos="6915"/>
              </w:tabs>
              <w:ind w:firstLine="480" w:firstLineChars="200"/>
              <w:rPr>
                <w:rFonts w:hint="eastAsia" w:ascii="宋体" w:hAnsi="宋体" w:cs="宋体"/>
                <w:bCs/>
                <w:sz w:val="24"/>
              </w:rPr>
            </w:pPr>
            <w:r>
              <w:rPr>
                <w:rFonts w:hint="eastAsia" w:ascii="宋体" w:hAnsi="宋体" w:cs="宋体"/>
                <w:bCs/>
                <w:sz w:val="24"/>
              </w:rPr>
              <w:t>(5) 阀门联锁响应时间：小于20ms（PLC接到报警信号到继电器输出联锁信号的时间）。</w:t>
            </w:r>
          </w:p>
          <w:p w14:paraId="5A315CA1">
            <w:pPr>
              <w:tabs>
                <w:tab w:val="left" w:pos="6915"/>
              </w:tabs>
              <w:ind w:firstLine="480" w:firstLineChars="200"/>
              <w:rPr>
                <w:rFonts w:hint="eastAsia" w:ascii="宋体" w:hAnsi="宋体" w:cs="宋体"/>
                <w:bCs/>
                <w:sz w:val="24"/>
              </w:rPr>
            </w:pPr>
            <w:r>
              <w:rPr>
                <w:rFonts w:hint="eastAsia" w:ascii="宋体" w:hAnsi="宋体" w:cs="宋体"/>
                <w:bCs/>
                <w:sz w:val="24"/>
              </w:rPr>
              <w:t>(6) 任意一个站点触摸屏均可以控制其它三个站点的阀门，并且可使用一键开启或关闭储存环所有区域的全部阀门;</w:t>
            </w:r>
          </w:p>
          <w:p w14:paraId="32BB8187">
            <w:pPr>
              <w:tabs>
                <w:tab w:val="left" w:pos="6915"/>
              </w:tabs>
              <w:ind w:firstLine="480" w:firstLineChars="200"/>
              <w:rPr>
                <w:rFonts w:hint="eastAsia" w:ascii="宋体" w:hAnsi="宋体" w:cs="宋体"/>
                <w:bCs/>
                <w:sz w:val="24"/>
              </w:rPr>
            </w:pPr>
            <w:r>
              <w:rPr>
                <w:rFonts w:hint="eastAsia" w:ascii="宋体" w:hAnsi="宋体" w:cs="宋体"/>
                <w:bCs/>
                <w:sz w:val="24"/>
              </w:rPr>
              <w:t>(7) 触摸屏无操作超过5分钟，自动退出用户，并且将模式置为联锁模式的程序;</w:t>
            </w:r>
          </w:p>
          <w:p w14:paraId="5E64E73E">
            <w:pPr>
              <w:tabs>
                <w:tab w:val="left" w:pos="6915"/>
              </w:tabs>
              <w:ind w:firstLine="480" w:firstLineChars="200"/>
              <w:rPr>
                <w:rFonts w:hint="eastAsia" w:ascii="宋体" w:hAnsi="宋体" w:cs="宋体"/>
                <w:bCs/>
                <w:sz w:val="24"/>
              </w:rPr>
            </w:pPr>
            <w:r>
              <w:rPr>
                <w:rFonts w:hint="eastAsia" w:ascii="宋体" w:hAnsi="宋体" w:cs="宋体"/>
                <w:bCs/>
                <w:sz w:val="24"/>
              </w:rPr>
              <w:t>(8) 报警顺序记录，报警信号的扫描周期大概是200毫秒；</w:t>
            </w:r>
          </w:p>
          <w:p w14:paraId="60080F23">
            <w:pPr>
              <w:tabs>
                <w:tab w:val="left" w:pos="6915"/>
              </w:tabs>
              <w:ind w:firstLine="480" w:firstLineChars="200"/>
              <w:rPr>
                <w:rFonts w:hint="eastAsia" w:ascii="宋体" w:hAnsi="宋体" w:cs="宋体"/>
                <w:bCs/>
                <w:sz w:val="24"/>
              </w:rPr>
            </w:pPr>
            <w:r>
              <w:rPr>
                <w:rFonts w:hint="eastAsia" w:ascii="宋体" w:hAnsi="宋体" w:cs="宋体"/>
                <w:bCs/>
                <w:sz w:val="24"/>
              </w:rPr>
              <w:t xml:space="preserve">(9) 记录阀门开关操作记录。 </w:t>
            </w:r>
          </w:p>
          <w:p w14:paraId="303994D9">
            <w:pPr>
              <w:tabs>
                <w:tab w:val="left" w:pos="6915"/>
              </w:tabs>
              <w:ind w:firstLine="480" w:firstLineChars="200"/>
              <w:rPr>
                <w:rFonts w:hint="eastAsia" w:ascii="宋体" w:hAnsi="宋体" w:cs="宋体"/>
                <w:bCs/>
                <w:sz w:val="24"/>
              </w:rPr>
            </w:pPr>
            <w:r>
              <w:rPr>
                <w:rFonts w:hint="eastAsia" w:ascii="宋体" w:hAnsi="宋体" w:cs="宋体"/>
                <w:bCs/>
                <w:sz w:val="24"/>
              </w:rPr>
              <w:t>(10) 触摸屏（HMI）程序通过TCP/IP模式直接访问多个PLC子站，扫描PLC寄存器时间小于200ms。</w:t>
            </w:r>
          </w:p>
          <w:p w14:paraId="2C100839">
            <w:pPr>
              <w:tabs>
                <w:tab w:val="left" w:pos="6915"/>
              </w:tabs>
              <w:rPr>
                <w:rFonts w:hint="eastAsia" w:ascii="宋体" w:hAnsi="宋体" w:cs="宋体"/>
                <w:b/>
                <w:sz w:val="24"/>
              </w:rPr>
            </w:pPr>
            <w:r>
              <w:rPr>
                <w:rFonts w:hint="eastAsia" w:ascii="宋体" w:hAnsi="宋体" w:cs="宋体"/>
                <w:b/>
                <w:sz w:val="24"/>
              </w:rPr>
              <w:t>2.3真空阀门联锁保护系统的IOC和OPI（基于EPICS7）：</w:t>
            </w:r>
          </w:p>
          <w:p w14:paraId="7E183FCE">
            <w:pPr>
              <w:tabs>
                <w:tab w:val="left" w:pos="6915"/>
              </w:tabs>
              <w:ind w:firstLine="480" w:firstLineChars="200"/>
              <w:rPr>
                <w:rFonts w:hint="eastAsia" w:ascii="宋体" w:hAnsi="宋体" w:cs="宋体"/>
                <w:bCs/>
                <w:sz w:val="24"/>
              </w:rPr>
            </w:pPr>
            <w:r>
              <w:rPr>
                <w:rFonts w:hint="eastAsia" w:ascii="宋体" w:hAnsi="宋体" w:cs="宋体"/>
                <w:bCs/>
                <w:sz w:val="24"/>
              </w:rPr>
              <w:t>提供基于EPICS7的真空阀门联锁保护系统的IOC和OPI程序代码。</w:t>
            </w:r>
          </w:p>
          <w:p w14:paraId="0354BE85">
            <w:pPr>
              <w:tabs>
                <w:tab w:val="left" w:pos="6915"/>
              </w:tabs>
              <w:rPr>
                <w:rFonts w:hint="eastAsia" w:ascii="宋体" w:hAnsi="宋体" w:cs="宋体"/>
                <w:b/>
                <w:sz w:val="24"/>
              </w:rPr>
            </w:pPr>
            <w:r>
              <w:rPr>
                <w:rFonts w:hint="eastAsia" w:ascii="宋体" w:hAnsi="宋体" w:cs="宋体"/>
                <w:b/>
                <w:sz w:val="24"/>
              </w:rPr>
              <w:t>2.4现场安装：</w:t>
            </w:r>
          </w:p>
          <w:p w14:paraId="651DB162">
            <w:pPr>
              <w:tabs>
                <w:tab w:val="left" w:pos="6915"/>
              </w:tabs>
              <w:ind w:firstLine="480" w:firstLineChars="200"/>
              <w:rPr>
                <w:rFonts w:hint="eastAsia" w:ascii="宋体" w:hAnsi="宋体" w:cs="宋体"/>
                <w:bCs/>
                <w:sz w:val="24"/>
              </w:rPr>
            </w:pPr>
            <w:r>
              <w:rPr>
                <w:rFonts w:hint="eastAsia" w:ascii="宋体" w:hAnsi="宋体" w:cs="宋体"/>
                <w:bCs/>
                <w:sz w:val="24"/>
              </w:rPr>
              <w:t>按照合同约定产品生产完成，验收合格后，乙方需要按照甲方的需求，进行现场设备的安装，包含真空阀门联锁保护机柜安装、接线(含线缆两端接线)等。</w:t>
            </w:r>
          </w:p>
          <w:p w14:paraId="3F2AD7DE">
            <w:pPr>
              <w:tabs>
                <w:tab w:val="left" w:pos="6915"/>
              </w:tabs>
              <w:rPr>
                <w:rFonts w:hint="eastAsia" w:ascii="宋体" w:hAnsi="宋体" w:cs="宋体"/>
                <w:b/>
                <w:sz w:val="24"/>
              </w:rPr>
            </w:pPr>
            <w:r>
              <w:rPr>
                <w:rFonts w:hint="eastAsia" w:ascii="宋体" w:hAnsi="宋体" w:cs="宋体"/>
                <w:b/>
                <w:sz w:val="24"/>
              </w:rPr>
              <w:t>2.5阀门联锁现场测试及调试：</w:t>
            </w:r>
          </w:p>
          <w:p w14:paraId="69A83344">
            <w:pPr>
              <w:tabs>
                <w:tab w:val="left" w:pos="6915"/>
              </w:tabs>
              <w:ind w:firstLine="480" w:firstLineChars="200"/>
              <w:rPr>
                <w:rFonts w:hint="eastAsia" w:ascii="宋体" w:hAnsi="宋体" w:cs="宋体"/>
                <w:bCs/>
                <w:sz w:val="24"/>
              </w:rPr>
            </w:pPr>
            <w:r>
              <w:rPr>
                <w:rFonts w:hint="eastAsia" w:ascii="宋体" w:hAnsi="宋体" w:cs="宋体"/>
                <w:bCs/>
                <w:sz w:val="24"/>
              </w:rPr>
              <w:t>由于真空设备信号数量很多，需要保证每一路信号的正确性，控制逻辑的正确性，需要对系统进行严格的测试，主要的测试内容如下：</w:t>
            </w:r>
          </w:p>
          <w:p w14:paraId="74C3ACD0">
            <w:pPr>
              <w:tabs>
                <w:tab w:val="left" w:pos="6915"/>
              </w:tabs>
              <w:ind w:firstLine="482" w:firstLineChars="200"/>
              <w:rPr>
                <w:rFonts w:hint="eastAsia" w:ascii="宋体" w:hAnsi="宋体" w:cs="宋体"/>
                <w:bCs/>
                <w:sz w:val="24"/>
              </w:rPr>
            </w:pPr>
            <w:r>
              <w:rPr>
                <w:rFonts w:hint="eastAsia" w:ascii="宋体" w:hAnsi="宋体" w:cs="宋体"/>
                <w:b/>
                <w:sz w:val="24"/>
              </w:rPr>
              <w:t>信号通路测试：</w:t>
            </w:r>
            <w:r>
              <w:rPr>
                <w:rFonts w:hint="eastAsia" w:ascii="宋体" w:hAnsi="宋体" w:cs="宋体"/>
                <w:bCs/>
                <w:sz w:val="24"/>
              </w:rPr>
              <w:t>进行信号通路测试：确保每条线缆连接可靠，并与信号一一对应；</w:t>
            </w:r>
          </w:p>
          <w:p w14:paraId="11C9A419">
            <w:pPr>
              <w:tabs>
                <w:tab w:val="left" w:pos="6915"/>
              </w:tabs>
              <w:ind w:firstLine="482" w:firstLineChars="200"/>
              <w:rPr>
                <w:rFonts w:hint="eastAsia" w:ascii="宋体" w:hAnsi="宋体" w:cs="宋体"/>
                <w:bCs/>
                <w:sz w:val="24"/>
              </w:rPr>
            </w:pPr>
            <w:r>
              <w:rPr>
                <w:rFonts w:hint="eastAsia" w:ascii="宋体" w:hAnsi="宋体" w:cs="宋体"/>
                <w:b/>
                <w:sz w:val="24"/>
              </w:rPr>
              <w:t>阀门联锁测试：</w:t>
            </w:r>
            <w:r>
              <w:rPr>
                <w:rFonts w:hint="eastAsia" w:ascii="宋体" w:hAnsi="宋体" w:cs="宋体"/>
                <w:bCs/>
                <w:sz w:val="24"/>
              </w:rPr>
              <w:t>通过改变真空规的阈值使得真空规触点信号发生改变，确保每个阀门根据联锁逻辑自动关闭，并将信号正确发送给机器保护系统。</w:t>
            </w:r>
          </w:p>
          <w:p w14:paraId="7FA9025C">
            <w:pPr>
              <w:tabs>
                <w:tab w:val="left" w:pos="6915"/>
              </w:tabs>
              <w:rPr>
                <w:rFonts w:hint="eastAsia" w:ascii="宋体" w:hAnsi="宋体" w:cs="宋体"/>
                <w:bCs/>
                <w:sz w:val="24"/>
              </w:rPr>
            </w:pPr>
            <w:r>
              <w:rPr>
                <w:rFonts w:hint="eastAsia" w:ascii="宋体" w:hAnsi="宋体" w:cs="宋体"/>
                <w:bCs/>
                <w:sz w:val="24"/>
              </w:rPr>
              <w:t xml:space="preserve">通过以上测试，证明了真空控制系统满足设计要求，乙方必须提供详细的测试方案并得到甲方的认可。测试完成后提交对应的文艺文件，具体如下： </w:t>
            </w:r>
          </w:p>
          <w:p w14:paraId="33A8CE2A">
            <w:pPr>
              <w:tabs>
                <w:tab w:val="left" w:pos="6915"/>
              </w:tabs>
              <w:rPr>
                <w:rFonts w:hint="eastAsia"/>
                <w:bCs/>
                <w:sz w:val="24"/>
              </w:rPr>
            </w:pPr>
            <w:r>
              <w:rPr>
                <w:rFonts w:hint="eastAsia" w:ascii="宋体" w:hAnsi="宋体" w:cs="宋体"/>
                <w:bCs/>
                <w:sz w:val="24"/>
              </w:rPr>
              <w:t>所有机柜均需有独立的质量跟踪卡（供应商编制）、检验记录等文字材料，注明形成日期，与实物对应一致。</w:t>
            </w:r>
          </w:p>
        </w:tc>
        <w:tc>
          <w:tcPr>
            <w:tcW w:w="1403" w:type="dxa"/>
            <w:vAlign w:val="center"/>
          </w:tcPr>
          <w:p w14:paraId="205FF5AB">
            <w:pPr>
              <w:spacing w:line="240" w:lineRule="atLeast"/>
              <w:jc w:val="center"/>
            </w:pPr>
          </w:p>
        </w:tc>
        <w:tc>
          <w:tcPr>
            <w:tcW w:w="1041" w:type="dxa"/>
            <w:vAlign w:val="center"/>
          </w:tcPr>
          <w:p w14:paraId="1C60665B">
            <w:pPr>
              <w:spacing w:line="240" w:lineRule="atLeast"/>
              <w:jc w:val="cente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436" w:type="dxa"/>
            <w:vAlign w:val="center"/>
          </w:tcPr>
          <w:p w14:paraId="21D5CC9B">
            <w:pPr>
              <w:spacing w:line="240" w:lineRule="atLeast"/>
              <w:jc w:val="center"/>
            </w:pPr>
            <w:r>
              <w:t>2</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pPr>
            <w:r>
              <w:rPr>
                <w:rFonts w:hint="eastAsia"/>
              </w:rPr>
              <w:t>商务条款</w:t>
            </w:r>
          </w:p>
        </w:tc>
        <w:tc>
          <w:tcPr>
            <w:tcW w:w="5991" w:type="dxa"/>
            <w:tcBorders>
              <w:top w:val="single" w:color="auto" w:sz="4" w:space="0"/>
              <w:left w:val="nil"/>
              <w:bottom w:val="single" w:color="auto" w:sz="4" w:space="0"/>
              <w:right w:val="single" w:color="auto" w:sz="4" w:space="0"/>
            </w:tcBorders>
            <w:shd w:val="clear" w:color="auto" w:fill="auto"/>
            <w:vAlign w:val="center"/>
          </w:tcPr>
          <w:p w14:paraId="0643E482">
            <w:pPr>
              <w:tabs>
                <w:tab w:val="left" w:pos="6915"/>
              </w:tabs>
              <w:jc w:val="left"/>
              <w:rPr>
                <w:rFonts w:hint="eastAsia" w:ascii="宋体" w:hAnsi="宋体"/>
                <w:b/>
                <w:szCs w:val="21"/>
              </w:rPr>
            </w:pPr>
            <w:r>
              <w:rPr>
                <w:rFonts w:ascii="宋体" w:hAnsi="宋体"/>
                <w:b/>
                <w:szCs w:val="21"/>
              </w:rPr>
              <w:t>交货期</w:t>
            </w:r>
            <w:r>
              <w:rPr>
                <w:rFonts w:hint="eastAsia" w:ascii="宋体" w:hAnsi="宋体"/>
                <w:b/>
                <w:szCs w:val="21"/>
              </w:rPr>
              <w:t>：</w:t>
            </w:r>
          </w:p>
          <w:p w14:paraId="6BDA8133">
            <w:pPr>
              <w:tabs>
                <w:tab w:val="left" w:pos="6915"/>
              </w:tabs>
              <w:jc w:val="left"/>
              <w:rPr>
                <w:rFonts w:hint="eastAsia" w:ascii="宋体" w:hAnsi="宋体"/>
                <w:bCs/>
                <w:szCs w:val="21"/>
              </w:rPr>
            </w:pPr>
            <w:r>
              <w:rPr>
                <w:rFonts w:hint="eastAsia" w:ascii="宋体" w:hAnsi="宋体"/>
                <w:bCs/>
                <w:szCs w:val="21"/>
              </w:rPr>
              <w:t>（1）合同签订之日起2个月内，完成4套联锁保护机柜的设计，出图和工艺评审等；</w:t>
            </w:r>
          </w:p>
          <w:p w14:paraId="389B6376">
            <w:pPr>
              <w:tabs>
                <w:tab w:val="left" w:pos="6915"/>
              </w:tabs>
              <w:jc w:val="left"/>
              <w:rPr>
                <w:rFonts w:hint="eastAsia" w:ascii="宋体" w:hAnsi="宋体"/>
                <w:bCs/>
                <w:szCs w:val="21"/>
              </w:rPr>
            </w:pPr>
            <w:r>
              <w:rPr>
                <w:rFonts w:hint="eastAsia" w:ascii="宋体" w:hAnsi="宋体"/>
                <w:bCs/>
                <w:szCs w:val="21"/>
              </w:rPr>
              <w:t xml:space="preserve">（2）合同签订之日起5个月内，完成4套联锁保护机柜的出厂测试和现场交付； </w:t>
            </w:r>
          </w:p>
          <w:p w14:paraId="3C4368EE">
            <w:pPr>
              <w:tabs>
                <w:tab w:val="left" w:pos="6915"/>
              </w:tabs>
              <w:jc w:val="left"/>
              <w:rPr>
                <w:rFonts w:hint="eastAsia" w:ascii="宋体" w:hAnsi="宋体"/>
                <w:bCs/>
                <w:szCs w:val="21"/>
              </w:rPr>
            </w:pPr>
            <w:r>
              <w:rPr>
                <w:rFonts w:hint="eastAsia" w:ascii="宋体" w:hAnsi="宋体"/>
                <w:bCs/>
                <w:szCs w:val="21"/>
              </w:rPr>
              <w:t>（3）合同签订之日起8个月内，完成机柜的安装和测试，并配合甲方进行联调。</w:t>
            </w:r>
          </w:p>
          <w:p w14:paraId="011D3BBF">
            <w:pPr>
              <w:tabs>
                <w:tab w:val="left" w:pos="6915"/>
              </w:tabs>
              <w:jc w:val="left"/>
              <w:rPr>
                <w:rFonts w:hint="eastAsia" w:ascii="宋体" w:hAnsi="宋体"/>
                <w:bCs/>
                <w:szCs w:val="21"/>
              </w:rPr>
            </w:pPr>
            <w:r>
              <w:rPr>
                <w:rFonts w:hint="eastAsia" w:ascii="宋体" w:hAnsi="宋体"/>
                <w:bCs/>
                <w:szCs w:val="21"/>
              </w:rPr>
              <w:t>交付地点：安徽省合肥市中国科学技术大学合肥先进光源园区。</w:t>
            </w:r>
          </w:p>
          <w:p w14:paraId="62826E3E">
            <w:pPr>
              <w:tabs>
                <w:tab w:val="left" w:pos="6915"/>
              </w:tabs>
              <w:jc w:val="left"/>
              <w:rPr>
                <w:rFonts w:hint="eastAsia" w:ascii="宋体" w:hAnsi="宋体"/>
                <w:bCs/>
                <w:szCs w:val="21"/>
              </w:rPr>
            </w:pPr>
            <w:r>
              <w:rPr>
                <w:rFonts w:hint="eastAsia" w:ascii="宋体" w:hAnsi="宋体"/>
                <w:bCs/>
                <w:szCs w:val="21"/>
              </w:rPr>
              <w:t>交付方式：供应商承担所有设备的运输、配合采购人完成安装验收，并承担相应费用。</w:t>
            </w:r>
          </w:p>
          <w:p w14:paraId="4B854A57">
            <w:pPr>
              <w:tabs>
                <w:tab w:val="left" w:pos="6915"/>
              </w:tabs>
              <w:jc w:val="left"/>
              <w:rPr>
                <w:rFonts w:hint="eastAsia" w:ascii="宋体" w:hAnsi="宋体"/>
                <w:bCs/>
                <w:szCs w:val="21"/>
              </w:rPr>
            </w:pPr>
            <w:r>
              <w:rPr>
                <w:rFonts w:ascii="宋体" w:hAnsi="宋体"/>
                <w:b/>
                <w:szCs w:val="21"/>
              </w:rPr>
              <w:t>交付进度</w:t>
            </w:r>
            <w:r>
              <w:rPr>
                <w:rFonts w:hint="eastAsia" w:ascii="宋体" w:hAnsi="宋体"/>
                <w:b/>
                <w:szCs w:val="21"/>
              </w:rPr>
              <w:t>：</w:t>
            </w:r>
            <w:r>
              <w:rPr>
                <w:rFonts w:hint="eastAsia" w:ascii="宋体" w:hAnsi="宋体"/>
                <w:bCs/>
                <w:szCs w:val="21"/>
              </w:rPr>
              <w:t>合同签订之日起5个月内，完成4套联锁保护机柜的出厂验收和现场交付。</w:t>
            </w:r>
          </w:p>
          <w:p w14:paraId="063DF81A">
            <w:pPr>
              <w:tabs>
                <w:tab w:val="left" w:pos="6915"/>
              </w:tabs>
              <w:jc w:val="left"/>
              <w:rPr>
                <w:rFonts w:hint="eastAsia" w:ascii="宋体" w:hAnsi="宋体"/>
                <w:b/>
                <w:szCs w:val="21"/>
              </w:rPr>
            </w:pPr>
            <w:r>
              <w:rPr>
                <w:rFonts w:ascii="宋体" w:hAnsi="宋体"/>
                <w:b/>
                <w:szCs w:val="21"/>
              </w:rPr>
              <w:t>付款方式</w:t>
            </w:r>
            <w:r>
              <w:rPr>
                <w:rFonts w:hint="eastAsia" w:ascii="宋体" w:hAnsi="宋体"/>
                <w:b/>
                <w:szCs w:val="21"/>
              </w:rPr>
              <w:t>：</w:t>
            </w:r>
          </w:p>
          <w:p w14:paraId="6CB9E69F">
            <w:pPr>
              <w:tabs>
                <w:tab w:val="left" w:pos="6915"/>
              </w:tabs>
              <w:jc w:val="left"/>
              <w:rPr>
                <w:rFonts w:hint="eastAsia" w:ascii="宋体" w:hAnsi="宋体"/>
                <w:bCs/>
                <w:szCs w:val="21"/>
              </w:rPr>
            </w:pPr>
            <w:r>
              <w:rPr>
                <w:rFonts w:hint="eastAsia" w:ascii="宋体" w:hAnsi="宋体"/>
                <w:bCs/>
                <w:szCs w:val="21"/>
              </w:rPr>
              <w:t>（1）合同签订并</w:t>
            </w:r>
            <w:r>
              <w:rPr>
                <w:rFonts w:hint="eastAsia" w:ascii="宋体" w:hAnsi="宋体"/>
                <w:bCs/>
                <w:szCs w:val="21"/>
                <w:lang w:val="en-US" w:eastAsia="zh-CN"/>
              </w:rPr>
              <w:t>完成</w:t>
            </w:r>
            <w:r>
              <w:rPr>
                <w:rFonts w:hint="eastAsia" w:ascii="宋体" w:hAnsi="宋体"/>
                <w:bCs/>
                <w:szCs w:val="21"/>
              </w:rPr>
              <w:t>工艺评审后，支付合同总价的50%；</w:t>
            </w:r>
          </w:p>
          <w:p w14:paraId="32D15920">
            <w:pPr>
              <w:tabs>
                <w:tab w:val="left" w:pos="6915"/>
              </w:tabs>
              <w:jc w:val="left"/>
              <w:rPr>
                <w:rFonts w:hint="eastAsia" w:ascii="宋体" w:hAnsi="宋体"/>
                <w:bCs/>
                <w:szCs w:val="21"/>
              </w:rPr>
            </w:pPr>
            <w:r>
              <w:rPr>
                <w:rFonts w:hint="eastAsia" w:ascii="宋体" w:hAnsi="宋体"/>
                <w:bCs/>
                <w:szCs w:val="21"/>
              </w:rPr>
              <w:t>（2）完成所有的阀门联锁保护机柜出厂测试并交货后，支付合同总价的30%；</w:t>
            </w:r>
          </w:p>
          <w:p w14:paraId="2454E1BD">
            <w:pPr>
              <w:tabs>
                <w:tab w:val="left" w:pos="6915"/>
              </w:tabs>
              <w:jc w:val="left"/>
              <w:rPr>
                <w:rFonts w:hint="eastAsia" w:ascii="宋体" w:hAnsi="宋体"/>
                <w:bCs/>
                <w:szCs w:val="21"/>
              </w:rPr>
            </w:pPr>
            <w:r>
              <w:rPr>
                <w:rFonts w:hint="eastAsia" w:ascii="宋体" w:hAnsi="宋体"/>
                <w:bCs/>
                <w:szCs w:val="21"/>
              </w:rPr>
              <w:t>（3）完成联调并验收合格后，支付合同总价的20%。</w:t>
            </w:r>
          </w:p>
          <w:p w14:paraId="558428D7">
            <w:pPr>
              <w:tabs>
                <w:tab w:val="left" w:pos="6915"/>
              </w:tabs>
              <w:jc w:val="left"/>
              <w:rPr>
                <w:rFonts w:hint="eastAsia" w:ascii="宋体" w:hAnsi="宋体"/>
                <w:bCs/>
                <w:szCs w:val="21"/>
              </w:rPr>
            </w:pPr>
            <w:r>
              <w:rPr>
                <w:rFonts w:hint="eastAsia" w:ascii="宋体" w:hAnsi="宋体"/>
                <w:bCs/>
                <w:szCs w:val="21"/>
              </w:rPr>
              <w:t>注：以上第3次付款前，供应商须向采购人提供100%合同价款的正规增值税专用发票。</w:t>
            </w:r>
          </w:p>
          <w:p w14:paraId="50609E60">
            <w:pPr>
              <w:tabs>
                <w:tab w:val="left" w:pos="6915"/>
              </w:tabs>
              <w:jc w:val="left"/>
              <w:rPr>
                <w:rFonts w:hint="eastAsia" w:ascii="宋体" w:hAnsi="宋体"/>
                <w:b/>
                <w:szCs w:val="21"/>
              </w:rPr>
            </w:pPr>
            <w:r>
              <w:rPr>
                <w:rFonts w:hint="eastAsia" w:ascii="宋体" w:hAnsi="宋体"/>
                <w:b/>
                <w:szCs w:val="21"/>
              </w:rPr>
              <w:t>验收指标及验收要求：</w:t>
            </w:r>
          </w:p>
          <w:p w14:paraId="60A85FFE">
            <w:pPr>
              <w:tabs>
                <w:tab w:val="left" w:pos="6915"/>
              </w:tabs>
              <w:jc w:val="left"/>
              <w:rPr>
                <w:rFonts w:hint="eastAsia" w:ascii="宋体" w:hAnsi="宋体"/>
                <w:bCs/>
                <w:szCs w:val="21"/>
              </w:rPr>
            </w:pPr>
            <w:r>
              <w:rPr>
                <w:rFonts w:hint="eastAsia" w:ascii="宋体" w:hAnsi="宋体"/>
                <w:bCs/>
                <w:szCs w:val="21"/>
              </w:rPr>
              <w:t>（1）对2.2和2.3技术指标相关内容并进行测试验收；</w:t>
            </w:r>
          </w:p>
          <w:p w14:paraId="3364DAC1">
            <w:pPr>
              <w:tabs>
                <w:tab w:val="left" w:pos="6915"/>
              </w:tabs>
              <w:jc w:val="left"/>
              <w:rPr>
                <w:rFonts w:hint="eastAsia" w:ascii="宋体" w:hAnsi="宋体"/>
                <w:bCs/>
                <w:szCs w:val="21"/>
              </w:rPr>
            </w:pPr>
            <w:r>
              <w:rPr>
                <w:rFonts w:hint="eastAsia" w:ascii="宋体" w:hAnsi="宋体"/>
                <w:bCs/>
                <w:szCs w:val="21"/>
              </w:rPr>
              <w:t>（2）实现上述逻辑功能并通过现场信号测试、阀门联锁测试。</w:t>
            </w:r>
          </w:p>
          <w:p w14:paraId="52B349ED">
            <w:pPr>
              <w:tabs>
                <w:tab w:val="left" w:pos="6915"/>
              </w:tabs>
              <w:jc w:val="left"/>
              <w:rPr>
                <w:rFonts w:hint="eastAsia" w:ascii="宋体" w:hAnsi="宋体"/>
                <w:b/>
                <w:szCs w:val="21"/>
              </w:rPr>
            </w:pPr>
            <w:r>
              <w:rPr>
                <w:rFonts w:hint="eastAsia" w:ascii="宋体" w:hAnsi="宋体"/>
                <w:b/>
                <w:szCs w:val="21"/>
              </w:rPr>
              <w:t>阶段</w:t>
            </w:r>
            <w:r>
              <w:rPr>
                <w:rFonts w:ascii="宋体" w:hAnsi="宋体"/>
                <w:b/>
                <w:szCs w:val="21"/>
              </w:rPr>
              <w:t>性检查要求</w:t>
            </w:r>
            <w:r>
              <w:rPr>
                <w:rFonts w:hint="eastAsia" w:ascii="宋体" w:hAnsi="宋体"/>
                <w:b/>
                <w:szCs w:val="21"/>
              </w:rPr>
              <w:t>：</w:t>
            </w:r>
          </w:p>
          <w:p w14:paraId="4327E988">
            <w:pPr>
              <w:tabs>
                <w:tab w:val="left" w:pos="6915"/>
              </w:tabs>
              <w:jc w:val="left"/>
              <w:rPr>
                <w:rFonts w:hint="eastAsia" w:ascii="宋体" w:hAnsi="宋体"/>
                <w:bCs/>
                <w:szCs w:val="21"/>
              </w:rPr>
            </w:pPr>
            <w:r>
              <w:rPr>
                <w:rFonts w:hint="eastAsia" w:ascii="宋体" w:hAnsi="宋体"/>
                <w:bCs/>
                <w:szCs w:val="21"/>
              </w:rPr>
              <w:t>（1）合同签订之日起2个月内，完成4套联锁保护机柜的设计、出图和工艺评审；</w:t>
            </w:r>
          </w:p>
          <w:p w14:paraId="6D36D77A">
            <w:pPr>
              <w:tabs>
                <w:tab w:val="left" w:pos="6915"/>
              </w:tabs>
              <w:jc w:val="left"/>
              <w:rPr>
                <w:rFonts w:hint="eastAsia" w:ascii="宋体" w:hAnsi="宋体"/>
                <w:b/>
                <w:szCs w:val="21"/>
              </w:rPr>
            </w:pPr>
            <w:r>
              <w:rPr>
                <w:rFonts w:hint="eastAsia" w:ascii="宋体" w:hAnsi="宋体"/>
                <w:bCs/>
                <w:szCs w:val="21"/>
              </w:rPr>
              <w:t>（2）合同签订之日起3个月内，完成1套联锁保护机柜的出厂测试。</w:t>
            </w:r>
          </w:p>
          <w:p w14:paraId="2AC471CA">
            <w:pPr>
              <w:tabs>
                <w:tab w:val="left" w:pos="6915"/>
              </w:tabs>
              <w:jc w:val="left"/>
              <w:rPr>
                <w:rFonts w:hint="eastAsia" w:ascii="宋体" w:hAnsi="宋体"/>
                <w:bCs/>
                <w:szCs w:val="21"/>
              </w:rPr>
            </w:pPr>
            <w:r>
              <w:rPr>
                <w:rFonts w:hint="eastAsia" w:ascii="宋体" w:hAnsi="宋体"/>
                <w:b/>
                <w:szCs w:val="21"/>
              </w:rPr>
              <w:t>保修</w:t>
            </w:r>
            <w:r>
              <w:rPr>
                <w:rFonts w:ascii="宋体" w:hAnsi="宋体"/>
                <w:b/>
                <w:szCs w:val="21"/>
              </w:rPr>
              <w:t>及售后服务</w:t>
            </w:r>
            <w:r>
              <w:rPr>
                <w:rFonts w:hint="eastAsia" w:ascii="宋体" w:hAnsi="宋体"/>
                <w:b/>
                <w:szCs w:val="21"/>
              </w:rPr>
              <w:t>：</w:t>
            </w:r>
            <w:r>
              <w:rPr>
                <w:rFonts w:hint="eastAsia" w:ascii="宋体" w:hAnsi="宋体"/>
                <w:bCs/>
                <w:szCs w:val="21"/>
              </w:rPr>
              <w:t>供应商应保证所供货物是严格按照双方认可的工艺生产的，并完全符合合同规定的质量、规格和性能的要求。供应商应保证在正确安装、正常使用的条件下，在其使用寿命期内应具有达到设计要求的性能。在质量保修期内，供应商对由于制造、工艺或材料的缺陷而产生的故障负责。</w:t>
            </w:r>
          </w:p>
          <w:p w14:paraId="0922C741">
            <w:pPr>
              <w:tabs>
                <w:tab w:val="left" w:pos="6915"/>
              </w:tabs>
              <w:ind w:firstLine="420" w:firstLineChars="200"/>
              <w:jc w:val="left"/>
              <w:rPr>
                <w:rFonts w:hint="eastAsia" w:ascii="宋体" w:hAnsi="宋体" w:eastAsia="宋体" w:cs="宋体"/>
                <w:bCs/>
                <w:szCs w:val="21"/>
              </w:rPr>
            </w:pPr>
            <w:r>
              <w:rPr>
                <w:rFonts w:hint="eastAsia" w:ascii="宋体" w:hAnsi="宋体"/>
                <w:bCs/>
                <w:szCs w:val="21"/>
              </w:rPr>
              <w:t>本合同标的保修期不少于两年，起始时间以全部设备通过最终验收之日起开始计算。在保修期内，非采购人人为原因引起的设备故障，供应商负责免费维修和免费更换零部件。供应商应于接到采购人维修通知后12小时内(法定假期除外)进行响应，需要抵达现场进行维修的，供应商应在一个工作日内抵达现场，并应在合理的时间内完成维修。</w:t>
            </w:r>
            <w:bookmarkStart w:id="7" w:name="_GoBack"/>
            <w:bookmarkEnd w:id="7"/>
          </w:p>
        </w:tc>
        <w:tc>
          <w:tcPr>
            <w:tcW w:w="1403" w:type="dxa"/>
            <w:vAlign w:val="center"/>
          </w:tcPr>
          <w:p w14:paraId="324B1D27">
            <w:pPr>
              <w:spacing w:line="240" w:lineRule="atLeast"/>
              <w:jc w:val="center"/>
            </w:pPr>
          </w:p>
        </w:tc>
        <w:tc>
          <w:tcPr>
            <w:tcW w:w="1041" w:type="dxa"/>
            <w:vAlign w:val="center"/>
          </w:tcPr>
          <w:p w14:paraId="06AA2CA0">
            <w:pPr>
              <w:spacing w:line="240" w:lineRule="atLeast"/>
              <w:jc w:val="center"/>
            </w:pPr>
          </w:p>
        </w:tc>
      </w:tr>
    </w:tbl>
    <w:p w14:paraId="0DED7F3B">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4277A5"/>
    <w:multiLevelType w:val="singleLevel"/>
    <w:tmpl w:val="904277A5"/>
    <w:lvl w:ilvl="0" w:tentative="0">
      <w:start w:val="1"/>
      <w:numFmt w:val="decimal"/>
      <w:suff w:val="nothing"/>
      <w:lvlText w:val="%1、"/>
      <w:lvlJc w:val="left"/>
    </w:lvl>
  </w:abstractNum>
  <w:abstractNum w:abstractNumId="1">
    <w:nsid w:val="9C42DA6A"/>
    <w:multiLevelType w:val="singleLevel"/>
    <w:tmpl w:val="9C42DA6A"/>
    <w:lvl w:ilvl="0" w:tentative="0">
      <w:start w:val="1"/>
      <w:numFmt w:val="decimal"/>
      <w:suff w:val="nothing"/>
      <w:lvlText w:val="%1、"/>
      <w:lvlJc w:val="left"/>
    </w:lvl>
  </w:abstractNum>
  <w:abstractNum w:abstractNumId="2">
    <w:nsid w:val="9CC8E4CB"/>
    <w:multiLevelType w:val="singleLevel"/>
    <w:tmpl w:val="9CC8E4CB"/>
    <w:lvl w:ilvl="0" w:tentative="0">
      <w:start w:val="1"/>
      <w:numFmt w:val="decimal"/>
      <w:suff w:val="nothing"/>
      <w:lvlText w:val="%1、"/>
      <w:lvlJc w:val="left"/>
    </w:lvl>
  </w:abstractNum>
  <w:abstractNum w:abstractNumId="3">
    <w:nsid w:val="AA3DB838"/>
    <w:multiLevelType w:val="singleLevel"/>
    <w:tmpl w:val="AA3DB838"/>
    <w:lvl w:ilvl="0" w:tentative="0">
      <w:start w:val="1"/>
      <w:numFmt w:val="decimal"/>
      <w:suff w:val="nothing"/>
      <w:lvlText w:val="%1、"/>
      <w:lvlJc w:val="left"/>
    </w:lvl>
  </w:abstractNum>
  <w:abstractNum w:abstractNumId="4">
    <w:nsid w:val="B481ADB0"/>
    <w:multiLevelType w:val="singleLevel"/>
    <w:tmpl w:val="B481ADB0"/>
    <w:lvl w:ilvl="0" w:tentative="0">
      <w:start w:val="1"/>
      <w:numFmt w:val="decimal"/>
      <w:suff w:val="nothing"/>
      <w:lvlText w:val="%1、"/>
      <w:lvlJc w:val="left"/>
    </w:lvl>
  </w:abstractNum>
  <w:abstractNum w:abstractNumId="5">
    <w:nsid w:val="BCC46D45"/>
    <w:multiLevelType w:val="singleLevel"/>
    <w:tmpl w:val="BCC46D45"/>
    <w:lvl w:ilvl="0" w:tentative="0">
      <w:start w:val="1"/>
      <w:numFmt w:val="decimal"/>
      <w:suff w:val="nothing"/>
      <w:lvlText w:val="%1、"/>
      <w:lvlJc w:val="left"/>
    </w:lvl>
  </w:abstractNum>
  <w:abstractNum w:abstractNumId="6">
    <w:nsid w:val="1DC890E9"/>
    <w:multiLevelType w:val="singleLevel"/>
    <w:tmpl w:val="1DC890E9"/>
    <w:lvl w:ilvl="0" w:tentative="0">
      <w:start w:val="1"/>
      <w:numFmt w:val="decimal"/>
      <w:suff w:val="nothing"/>
      <w:lvlText w:val="%1、"/>
      <w:lvlJc w:val="left"/>
    </w:lvl>
  </w:abstractNum>
  <w:abstractNum w:abstractNumId="7">
    <w:nsid w:val="1FB76859"/>
    <w:multiLevelType w:val="singleLevel"/>
    <w:tmpl w:val="1FB76859"/>
    <w:lvl w:ilvl="0" w:tentative="0">
      <w:start w:val="1"/>
      <w:numFmt w:val="decimal"/>
      <w:suff w:val="nothing"/>
      <w:lvlText w:val="%1、"/>
      <w:lvlJc w:val="left"/>
    </w:lvl>
  </w:abstractNum>
  <w:abstractNum w:abstractNumId="8">
    <w:nsid w:val="467ECE7B"/>
    <w:multiLevelType w:val="singleLevel"/>
    <w:tmpl w:val="467ECE7B"/>
    <w:lvl w:ilvl="0" w:tentative="0">
      <w:start w:val="1"/>
      <w:numFmt w:val="decimal"/>
      <w:suff w:val="nothing"/>
      <w:lvlText w:val="%1、"/>
      <w:lvlJc w:val="left"/>
    </w:lvl>
  </w:abstractNum>
  <w:abstractNum w:abstractNumId="9">
    <w:nsid w:val="631BD41C"/>
    <w:multiLevelType w:val="singleLevel"/>
    <w:tmpl w:val="631BD41C"/>
    <w:lvl w:ilvl="0" w:tentative="0">
      <w:start w:val="1"/>
      <w:numFmt w:val="decimal"/>
      <w:suff w:val="nothing"/>
      <w:lvlText w:val="%1、"/>
      <w:lvlJc w:val="left"/>
    </w:lvl>
  </w:abstractNum>
  <w:abstractNum w:abstractNumId="10">
    <w:nsid w:val="6B9E5387"/>
    <w:multiLevelType w:val="singleLevel"/>
    <w:tmpl w:val="6B9E5387"/>
    <w:lvl w:ilvl="0" w:tentative="0">
      <w:start w:val="1"/>
      <w:numFmt w:val="decimal"/>
      <w:suff w:val="nothing"/>
      <w:lvlText w:val="%1、"/>
      <w:lvlJc w:val="left"/>
    </w:lvl>
  </w:abstractNum>
  <w:abstractNum w:abstractNumId="11">
    <w:nsid w:val="7A5CB8A2"/>
    <w:multiLevelType w:val="singleLevel"/>
    <w:tmpl w:val="7A5CB8A2"/>
    <w:lvl w:ilvl="0" w:tentative="0">
      <w:start w:val="1"/>
      <w:numFmt w:val="decimal"/>
      <w:suff w:val="nothing"/>
      <w:lvlText w:val="%1、"/>
      <w:lvlJc w:val="left"/>
    </w:lvl>
  </w:abstractNum>
  <w:num w:numId="1">
    <w:abstractNumId w:val="11"/>
  </w:num>
  <w:num w:numId="2">
    <w:abstractNumId w:val="1"/>
  </w:num>
  <w:num w:numId="3">
    <w:abstractNumId w:val="0"/>
  </w:num>
  <w:num w:numId="4">
    <w:abstractNumId w:val="3"/>
  </w:num>
  <w:num w:numId="5">
    <w:abstractNumId w:val="5"/>
  </w:num>
  <w:num w:numId="6">
    <w:abstractNumId w:val="6"/>
  </w:num>
  <w:num w:numId="7">
    <w:abstractNumId w:val="8"/>
  </w:num>
  <w:num w:numId="8">
    <w:abstractNumId w:val="7"/>
  </w:num>
  <w:num w:numId="9">
    <w:abstractNumId w:val="10"/>
  </w:num>
  <w:num w:numId="10">
    <w:abstractNumId w:val="9"/>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10C4"/>
    <w:rsid w:val="00015CB8"/>
    <w:rsid w:val="00020783"/>
    <w:rsid w:val="00050922"/>
    <w:rsid w:val="00086882"/>
    <w:rsid w:val="00090223"/>
    <w:rsid w:val="00091C8D"/>
    <w:rsid w:val="000E54CE"/>
    <w:rsid w:val="00102C13"/>
    <w:rsid w:val="00123779"/>
    <w:rsid w:val="001501D1"/>
    <w:rsid w:val="001548E0"/>
    <w:rsid w:val="00180627"/>
    <w:rsid w:val="001B219D"/>
    <w:rsid w:val="001D3367"/>
    <w:rsid w:val="002026B2"/>
    <w:rsid w:val="002212AC"/>
    <w:rsid w:val="00261EE1"/>
    <w:rsid w:val="00267E42"/>
    <w:rsid w:val="002D1729"/>
    <w:rsid w:val="002E518A"/>
    <w:rsid w:val="003009AA"/>
    <w:rsid w:val="00363C73"/>
    <w:rsid w:val="003923FC"/>
    <w:rsid w:val="003C2330"/>
    <w:rsid w:val="003C7C5A"/>
    <w:rsid w:val="004626C3"/>
    <w:rsid w:val="004973C3"/>
    <w:rsid w:val="004B0D2F"/>
    <w:rsid w:val="00516FB3"/>
    <w:rsid w:val="00547A75"/>
    <w:rsid w:val="00584F75"/>
    <w:rsid w:val="005C4758"/>
    <w:rsid w:val="005D36D5"/>
    <w:rsid w:val="005E2C0C"/>
    <w:rsid w:val="005F7E7B"/>
    <w:rsid w:val="00630F8F"/>
    <w:rsid w:val="00642CDA"/>
    <w:rsid w:val="00670B3D"/>
    <w:rsid w:val="006B62DC"/>
    <w:rsid w:val="006C07B4"/>
    <w:rsid w:val="006D67E0"/>
    <w:rsid w:val="00705387"/>
    <w:rsid w:val="00720BC4"/>
    <w:rsid w:val="007230C5"/>
    <w:rsid w:val="00731AE1"/>
    <w:rsid w:val="00744E8E"/>
    <w:rsid w:val="00750961"/>
    <w:rsid w:val="00757D88"/>
    <w:rsid w:val="00763EDD"/>
    <w:rsid w:val="007B2AE3"/>
    <w:rsid w:val="00811B08"/>
    <w:rsid w:val="00825420"/>
    <w:rsid w:val="00832C3E"/>
    <w:rsid w:val="00841F33"/>
    <w:rsid w:val="00872767"/>
    <w:rsid w:val="00877DA3"/>
    <w:rsid w:val="008A717C"/>
    <w:rsid w:val="008D62B6"/>
    <w:rsid w:val="008E3DB8"/>
    <w:rsid w:val="008F0FFC"/>
    <w:rsid w:val="008F5C2B"/>
    <w:rsid w:val="009149BA"/>
    <w:rsid w:val="00961437"/>
    <w:rsid w:val="00995429"/>
    <w:rsid w:val="00996AC3"/>
    <w:rsid w:val="009B6E26"/>
    <w:rsid w:val="009C3224"/>
    <w:rsid w:val="009C4C31"/>
    <w:rsid w:val="009E2F9A"/>
    <w:rsid w:val="009F5C3A"/>
    <w:rsid w:val="00A01094"/>
    <w:rsid w:val="00A11447"/>
    <w:rsid w:val="00A20D98"/>
    <w:rsid w:val="00A27625"/>
    <w:rsid w:val="00A44E8A"/>
    <w:rsid w:val="00A533CA"/>
    <w:rsid w:val="00A66F06"/>
    <w:rsid w:val="00A7013F"/>
    <w:rsid w:val="00A8112C"/>
    <w:rsid w:val="00AC1D37"/>
    <w:rsid w:val="00AC67EF"/>
    <w:rsid w:val="00AE3028"/>
    <w:rsid w:val="00AF7A8B"/>
    <w:rsid w:val="00B0175F"/>
    <w:rsid w:val="00B04741"/>
    <w:rsid w:val="00B311D0"/>
    <w:rsid w:val="00B64004"/>
    <w:rsid w:val="00B7785A"/>
    <w:rsid w:val="00B90DC2"/>
    <w:rsid w:val="00B971DE"/>
    <w:rsid w:val="00BA1B3F"/>
    <w:rsid w:val="00BC2767"/>
    <w:rsid w:val="00BD701B"/>
    <w:rsid w:val="00C102A3"/>
    <w:rsid w:val="00C1298E"/>
    <w:rsid w:val="00C26D9F"/>
    <w:rsid w:val="00C420C3"/>
    <w:rsid w:val="00C442AD"/>
    <w:rsid w:val="00CA3288"/>
    <w:rsid w:val="00CA3E3B"/>
    <w:rsid w:val="00D011DC"/>
    <w:rsid w:val="00D04097"/>
    <w:rsid w:val="00D16AC0"/>
    <w:rsid w:val="00D24D09"/>
    <w:rsid w:val="00D72E1E"/>
    <w:rsid w:val="00D81354"/>
    <w:rsid w:val="00DA7BF9"/>
    <w:rsid w:val="00E00131"/>
    <w:rsid w:val="00E0215E"/>
    <w:rsid w:val="00E147A9"/>
    <w:rsid w:val="00E31AA5"/>
    <w:rsid w:val="00E5012E"/>
    <w:rsid w:val="00E762FD"/>
    <w:rsid w:val="00E930C8"/>
    <w:rsid w:val="00EA412A"/>
    <w:rsid w:val="00EA6BA9"/>
    <w:rsid w:val="00EB6FB2"/>
    <w:rsid w:val="00EC5A9D"/>
    <w:rsid w:val="00F02F94"/>
    <w:rsid w:val="00F26580"/>
    <w:rsid w:val="00F347F0"/>
    <w:rsid w:val="00F34AE9"/>
    <w:rsid w:val="00F357B0"/>
    <w:rsid w:val="00F43549"/>
    <w:rsid w:val="00F50B62"/>
    <w:rsid w:val="00F70F95"/>
    <w:rsid w:val="00F82AA6"/>
    <w:rsid w:val="00F855E3"/>
    <w:rsid w:val="00FA453C"/>
    <w:rsid w:val="00FC7C08"/>
    <w:rsid w:val="00FE15FA"/>
    <w:rsid w:val="00FF78CF"/>
    <w:rsid w:val="0279069A"/>
    <w:rsid w:val="07416EBF"/>
    <w:rsid w:val="093C12EB"/>
    <w:rsid w:val="0DED475B"/>
    <w:rsid w:val="0EB47357"/>
    <w:rsid w:val="24FF7627"/>
    <w:rsid w:val="251E174D"/>
    <w:rsid w:val="2D070EC5"/>
    <w:rsid w:val="40512489"/>
    <w:rsid w:val="468B21C7"/>
    <w:rsid w:val="46BF17AE"/>
    <w:rsid w:val="47494CC3"/>
    <w:rsid w:val="48EB0E6F"/>
    <w:rsid w:val="58533025"/>
    <w:rsid w:val="5DC766F2"/>
    <w:rsid w:val="64331764"/>
    <w:rsid w:val="6757409F"/>
    <w:rsid w:val="6DA20D7D"/>
    <w:rsid w:val="70E72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keepNext/>
      <w:keepLines/>
      <w:spacing w:before="260" w:after="260" w:line="416" w:lineRule="auto"/>
      <w:outlineLvl w:val="2"/>
    </w:pPr>
    <w:rPr>
      <w:b/>
      <w:bCs/>
      <w:sz w:val="32"/>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line="278" w:lineRule="auto"/>
      <w:jc w:val="left"/>
    </w:pPr>
    <w:rPr>
      <w:rFonts w:ascii="Times New Roman" w:hAnsi="Times New Roman" w:eastAsia="宋体" w:cs="Times New Roman"/>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style01"/>
    <w:basedOn w:val="8"/>
    <w:qFormat/>
    <w:uiPriority w:val="0"/>
    <w:rPr>
      <w:rFonts w:hint="default" w:ascii="MicrosoftYaHei" w:hAnsi="MicrosoftYaHei"/>
      <w:color w:val="000000"/>
      <w:sz w:val="22"/>
      <w:szCs w:val="22"/>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 w:type="paragraph" w:styleId="12">
    <w:name w:val="List Paragraph"/>
    <w:basedOn w:val="1"/>
    <w:autoRedefine/>
    <w:qFormat/>
    <w:uiPriority w:val="99"/>
    <w:pPr>
      <w:tabs>
        <w:tab w:val="left" w:pos="1428"/>
      </w:tabs>
      <w:ind w:firstLine="420" w:firstLineChars="200"/>
      <w:jc w:val="left"/>
    </w:pPr>
    <w:rPr>
      <w:rFonts w:ascii="Times New Roman" w:hAnsi="Times New Roman" w:eastAsia="宋体" w:cs="Times New Roman"/>
      <w:szCs w:val="24"/>
    </w:rPr>
  </w:style>
  <w:style w:type="character" w:customStyle="1" w:styleId="13">
    <w:name w:val="标题 2 Char Char"/>
    <w:qFormat/>
    <w:uiPriority w:val="0"/>
    <w:rPr>
      <w:rFonts w:ascii="Arial" w:hAnsi="Arial" w:eastAsia="黑体" w:cs="Times New Roman"/>
      <w:b/>
      <w:bCs/>
      <w:kern w:val="2"/>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9</Pages>
  <Words>1278</Words>
  <Characters>1418</Characters>
  <Lines>6</Lines>
  <Paragraphs>1</Paragraphs>
  <TotalTime>0</TotalTime>
  <ScaleCrop>false</ScaleCrop>
  <LinksUpToDate>false</LinksUpToDate>
  <CharactersWithSpaces>1458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2024-07-15T01:36:00Z</dcterms:created>
  <dc:creator>China</dc:creator>
  <cp:lastModifiedBy>陈文佳</cp:lastModifiedBy>
  <dcterms:modified xsi:type="dcterms:W3CDTF">2026-03-09T06:58:05Z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eyJoZGlkIjoiMzc0OTQ1OWZiNDc3Y2MyZmZmZWIzYzRlODQ4NDE3OTYiLCJ1c2VySWQiOiIxNzc0OTA2Mjk1In0=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