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C9955E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>
      <w:pPr>
        <w:jc w:val="center"/>
        <w:rPr>
          <w:sz w:val="36"/>
        </w:rPr>
      </w:pPr>
      <w:bookmarkStart w:id="0" w:name="_GoBack"/>
      <w:r>
        <w:rPr>
          <w:rFonts w:hint="eastAsia"/>
          <w:sz w:val="36"/>
        </w:rPr>
        <w:t>技术指标供应商确认表</w:t>
      </w:r>
    </w:p>
    <w:bookmarkEnd w:id="0"/>
    <w:p w14:paraId="3E58F52B"/>
    <w:tbl>
      <w:tblPr>
        <w:tblStyle w:val="3"/>
        <w:tblW w:w="9781" w:type="dxa"/>
        <w:tblInd w:w="-5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1561"/>
        <w:gridCol w:w="5322"/>
        <w:gridCol w:w="1201"/>
        <w:gridCol w:w="992"/>
      </w:tblGrid>
      <w:tr w14:paraId="3979FF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705" w:type="dxa"/>
            <w:vAlign w:val="center"/>
          </w:tcPr>
          <w:p w14:paraId="75C250BA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1561" w:type="dxa"/>
            <w:vAlign w:val="center"/>
          </w:tcPr>
          <w:p w14:paraId="3A9FF52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名称</w:t>
            </w:r>
          </w:p>
        </w:tc>
        <w:tc>
          <w:tcPr>
            <w:tcW w:w="5322" w:type="dxa"/>
            <w:vAlign w:val="center"/>
          </w:tcPr>
          <w:p w14:paraId="258D475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技术指标</w:t>
            </w:r>
          </w:p>
        </w:tc>
        <w:tc>
          <w:tcPr>
            <w:tcW w:w="1201" w:type="dxa"/>
            <w:vAlign w:val="center"/>
          </w:tcPr>
          <w:p w14:paraId="37F7A556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偏离说明</w:t>
            </w:r>
          </w:p>
          <w:p w14:paraId="328E92F5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(</w:t>
            </w:r>
            <w:r>
              <w:rPr>
                <w:sz w:val="24"/>
                <w:szCs w:val="24"/>
              </w:rPr>
              <w:t>无偏离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正偏离</w:t>
            </w:r>
            <w:r>
              <w:rPr>
                <w:rFonts w:hint="eastAsia"/>
                <w:sz w:val="24"/>
                <w:szCs w:val="24"/>
              </w:rPr>
              <w:t>/</w:t>
            </w:r>
            <w:r>
              <w:rPr>
                <w:sz w:val="24"/>
                <w:szCs w:val="24"/>
              </w:rPr>
              <w:t>负偏离</w:t>
            </w:r>
            <w:r>
              <w:rPr>
                <w:rFonts w:hint="eastAsia"/>
                <w:sz w:val="24"/>
                <w:szCs w:val="24"/>
              </w:rPr>
              <w:t>)</w:t>
            </w:r>
          </w:p>
        </w:tc>
        <w:tc>
          <w:tcPr>
            <w:tcW w:w="992" w:type="dxa"/>
            <w:vAlign w:val="center"/>
          </w:tcPr>
          <w:p w14:paraId="22A89C1E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偏离值</w:t>
            </w:r>
          </w:p>
        </w:tc>
      </w:tr>
      <w:tr w14:paraId="39438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8" w:hRule="atLeast"/>
        </w:trPr>
        <w:tc>
          <w:tcPr>
            <w:tcW w:w="705" w:type="dxa"/>
            <w:vAlign w:val="center"/>
          </w:tcPr>
          <w:p w14:paraId="185CA09D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3D2AB7">
            <w:pPr>
              <w:widowControl/>
              <w:spacing w:line="240" w:lineRule="atLeast"/>
              <w:jc w:val="center"/>
              <w:rPr>
                <w:rFonts w:hint="default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电缆</w:t>
            </w:r>
          </w:p>
        </w:tc>
        <w:tc>
          <w:tcPr>
            <w:tcW w:w="5322" w:type="dxa"/>
            <w:vAlign w:val="center"/>
          </w:tcPr>
          <w:tbl>
            <w:tblPr>
              <w:tblStyle w:val="3"/>
              <w:tblW w:w="0" w:type="auto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3544"/>
              <w:gridCol w:w="1275"/>
            </w:tblGrid>
            <w:tr w14:paraId="2785157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17296F0B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/>
                      <w:b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 w:val="0"/>
                      <w:sz w:val="24"/>
                      <w:szCs w:val="24"/>
                    </w:rPr>
                    <w:t>线缆规格</w:t>
                  </w:r>
                </w:p>
              </w:tc>
              <w:tc>
                <w:tcPr>
                  <w:tcW w:w="1275" w:type="dxa"/>
                </w:tcPr>
                <w:p w14:paraId="2B95A91A">
                  <w:pPr>
                    <w:tabs>
                      <w:tab w:val="left" w:pos="6915"/>
                    </w:tabs>
                    <w:jc w:val="left"/>
                    <w:rPr>
                      <w:rFonts w:ascii="宋体" w:hAnsi="宋体" w:cs="宋体"/>
                      <w:b/>
                      <w:bCs w:val="0"/>
                      <w:sz w:val="24"/>
                      <w:szCs w:val="24"/>
                    </w:rPr>
                  </w:pPr>
                  <w:r>
                    <w:rPr>
                      <w:rFonts w:hint="eastAsia" w:ascii="宋体" w:hAnsi="宋体" w:cs="宋体"/>
                      <w:b/>
                      <w:bCs w:val="0"/>
                      <w:sz w:val="24"/>
                      <w:szCs w:val="24"/>
                    </w:rPr>
                    <w:t>长度（米）</w:t>
                  </w:r>
                </w:p>
              </w:tc>
            </w:tr>
            <w:tr w14:paraId="6744F0E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3794AFCC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ERF-0.6/1KV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185</w:t>
                  </w:r>
                </w:p>
              </w:tc>
              <w:tc>
                <w:tcPr>
                  <w:tcW w:w="1275" w:type="dxa"/>
                </w:tcPr>
                <w:p w14:paraId="5E2908D6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400</w:t>
                  </w:r>
                </w:p>
              </w:tc>
            </w:tr>
            <w:tr w14:paraId="092F44C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5AD9BA3C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ERF-0.6/1KV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150</w:t>
                  </w:r>
                </w:p>
              </w:tc>
              <w:tc>
                <w:tcPr>
                  <w:tcW w:w="1275" w:type="dxa"/>
                </w:tcPr>
                <w:p w14:paraId="6DCA691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1200</w:t>
                  </w:r>
                </w:p>
              </w:tc>
            </w:tr>
            <w:tr w14:paraId="40D5A83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756EEFB1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ERF-0.6/1KV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95</w:t>
                  </w:r>
                </w:p>
              </w:tc>
              <w:tc>
                <w:tcPr>
                  <w:tcW w:w="1275" w:type="dxa"/>
                </w:tcPr>
                <w:p w14:paraId="3BEE523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200</w:t>
                  </w:r>
                </w:p>
              </w:tc>
            </w:tr>
            <w:tr w14:paraId="00354DA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5FA3B081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ERF-0.6/1KV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35</w:t>
                  </w:r>
                </w:p>
              </w:tc>
              <w:tc>
                <w:tcPr>
                  <w:tcW w:w="1275" w:type="dxa"/>
                </w:tcPr>
                <w:p w14:paraId="25B7333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810</w:t>
                  </w:r>
                </w:p>
              </w:tc>
            </w:tr>
            <w:tr w14:paraId="40D55D2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17EFE23F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ERF-0.6/1KV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2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4</w:t>
                  </w:r>
                </w:p>
              </w:tc>
              <w:tc>
                <w:tcPr>
                  <w:tcW w:w="1275" w:type="dxa"/>
                </w:tcPr>
                <w:p w14:paraId="68C74CAC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1760</w:t>
                  </w:r>
                </w:p>
              </w:tc>
            </w:tr>
            <w:tr w14:paraId="6D31007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54625D3B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WDZC-KYJY-450/750V</w:t>
                  </w:r>
                  <w:r>
                    <w:rPr>
                      <w:rFonts w:hint="eastAsia" w:ascii="宋体" w:hAnsi="宋体" w:cs="宋体"/>
                      <w:bCs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2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</w:t>
                  </w:r>
                </w:p>
              </w:tc>
              <w:tc>
                <w:tcPr>
                  <w:tcW w:w="1275" w:type="dxa"/>
                </w:tcPr>
                <w:p w14:paraId="5C9F7AA5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650</w:t>
                  </w:r>
                </w:p>
              </w:tc>
            </w:tr>
            <w:tr w14:paraId="05A3407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0BEB4D4B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WDZA-YJ(F)Y-0.6/1KV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3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50+1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25</w:t>
                  </w:r>
                </w:p>
              </w:tc>
              <w:tc>
                <w:tcPr>
                  <w:tcW w:w="1275" w:type="dxa"/>
                </w:tcPr>
                <w:p w14:paraId="5D00E021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60</w:t>
                  </w:r>
                </w:p>
              </w:tc>
            </w:tr>
            <w:tr w14:paraId="4B0941E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2AAFF3A7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WDZA-YJ(F)Y-0.6/1KV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 xml:space="preserve"> 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3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10+1</w:t>
                  </w:r>
                  <w:r>
                    <w:rPr>
                      <w:rFonts w:hint="eastAsia" w:ascii="宋体" w:hAnsi="宋体"/>
                      <w:sz w:val="24"/>
                      <w:szCs w:val="24"/>
                    </w:rPr>
                    <w:t>x</w:t>
                  </w:r>
                  <w:r>
                    <w:rPr>
                      <w:rFonts w:ascii="宋体" w:hAnsi="宋体"/>
                      <w:sz w:val="24"/>
                      <w:szCs w:val="24"/>
                    </w:rPr>
                    <w:t>6</w:t>
                  </w:r>
                </w:p>
              </w:tc>
              <w:tc>
                <w:tcPr>
                  <w:tcW w:w="1275" w:type="dxa"/>
                </w:tcPr>
                <w:p w14:paraId="3B230F28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50</w:t>
                  </w:r>
                </w:p>
              </w:tc>
            </w:tr>
            <w:tr w14:paraId="03FB72E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3D331D7B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BVR-1*25</w:t>
                  </w:r>
                </w:p>
              </w:tc>
              <w:tc>
                <w:tcPr>
                  <w:tcW w:w="1275" w:type="dxa"/>
                </w:tcPr>
                <w:p w14:paraId="6CFEBF3D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20</w:t>
                  </w:r>
                </w:p>
              </w:tc>
            </w:tr>
            <w:tr w14:paraId="31A9D4D8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jc w:val="center"/>
              </w:trPr>
              <w:tc>
                <w:tcPr>
                  <w:tcW w:w="3544" w:type="dxa"/>
                </w:tcPr>
                <w:p w14:paraId="60740FE9">
                  <w:pPr>
                    <w:rPr>
                      <w:rFonts w:ascii="宋体" w:hAnsi="宋体"/>
                      <w:sz w:val="24"/>
                      <w:szCs w:val="24"/>
                    </w:rPr>
                  </w:pPr>
                  <w:r>
                    <w:rPr>
                      <w:rFonts w:ascii="宋体" w:hAnsi="宋体"/>
                      <w:sz w:val="24"/>
                      <w:szCs w:val="24"/>
                    </w:rPr>
                    <w:t>BVR-1*10</w:t>
                  </w:r>
                </w:p>
              </w:tc>
              <w:tc>
                <w:tcPr>
                  <w:tcW w:w="1275" w:type="dxa"/>
                </w:tcPr>
                <w:p w14:paraId="5F93517B">
                  <w:pPr>
                    <w:tabs>
                      <w:tab w:val="left" w:pos="6915"/>
                    </w:tabs>
                    <w:jc w:val="center"/>
                    <w:rPr>
                      <w:rFonts w:ascii="宋体" w:hAnsi="宋体" w:cs="宋体"/>
                      <w:bCs/>
                      <w:sz w:val="24"/>
                      <w:szCs w:val="24"/>
                    </w:rPr>
                  </w:pPr>
                  <w:r>
                    <w:rPr>
                      <w:rFonts w:ascii="宋体" w:hAnsi="宋体" w:cs="宋体"/>
                      <w:bCs/>
                      <w:sz w:val="24"/>
                      <w:szCs w:val="24"/>
                    </w:rPr>
                    <w:t>20</w:t>
                  </w:r>
                </w:p>
              </w:tc>
            </w:tr>
          </w:tbl>
          <w:p w14:paraId="6DFC101A">
            <w:pPr>
              <w:tabs>
                <w:tab w:val="left" w:pos="6915"/>
              </w:tabs>
              <w:jc w:val="left"/>
              <w:rPr>
                <w:rFonts w:hint="eastAsia"/>
                <w:bCs/>
                <w:sz w:val="24"/>
                <w:szCs w:val="24"/>
              </w:rPr>
            </w:pPr>
          </w:p>
        </w:tc>
        <w:tc>
          <w:tcPr>
            <w:tcW w:w="1201" w:type="dxa"/>
            <w:vAlign w:val="center"/>
          </w:tcPr>
          <w:p w14:paraId="205FF5A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1C60665B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  <w:tr w14:paraId="497EA6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7" w:hRule="atLeast"/>
        </w:trPr>
        <w:tc>
          <w:tcPr>
            <w:tcW w:w="705" w:type="dxa"/>
            <w:vAlign w:val="center"/>
          </w:tcPr>
          <w:p w14:paraId="21D5CC9B">
            <w:pPr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17188C">
            <w:pPr>
              <w:widowControl/>
              <w:spacing w:line="240" w:lineRule="atLeas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商务条款</w:t>
            </w:r>
          </w:p>
        </w:tc>
        <w:tc>
          <w:tcPr>
            <w:tcW w:w="53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155E27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交货期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ascii="宋体" w:hAnsi="宋体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sz w:val="24"/>
                <w:szCs w:val="24"/>
              </w:rPr>
              <w:t>个月</w:t>
            </w:r>
          </w:p>
          <w:p w14:paraId="3FCB4F8D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交付进度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一次性交付</w:t>
            </w:r>
          </w:p>
          <w:p w14:paraId="3BB24E17">
            <w:pPr>
              <w:tabs>
                <w:tab w:val="left" w:pos="6915"/>
              </w:tabs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b/>
                <w:sz w:val="24"/>
                <w:szCs w:val="24"/>
              </w:rPr>
              <w:t>付款方式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甲方预付合同总金额的50%，货到甲方验收合格后支付合同总金额的50%</w:t>
            </w:r>
          </w:p>
          <w:p w14:paraId="0500B579">
            <w:pPr>
              <w:tabs>
                <w:tab w:val="left" w:pos="6915"/>
              </w:tabs>
              <w:jc w:val="left"/>
              <w:rPr>
                <w:rFonts w:ascii="宋体" w:hAnsi="宋体"/>
                <w:b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验收指标及验收要求：</w:t>
            </w:r>
            <w:r>
              <w:rPr>
                <w:rFonts w:hint="eastAsia" w:ascii="宋体" w:hAnsi="宋体"/>
                <w:sz w:val="24"/>
                <w:szCs w:val="24"/>
              </w:rPr>
              <w:t>所有线缆长度均符合上述要求，并提供产品合格证。</w:t>
            </w:r>
          </w:p>
          <w:p w14:paraId="498211D4">
            <w:pPr>
              <w:keepNext w:val="0"/>
              <w:keepLines w:val="0"/>
              <w:pageBreakBefore w:val="0"/>
              <w:tabs>
                <w:tab w:val="left" w:pos="6915"/>
              </w:tabs>
              <w:kinsoku/>
              <w:wordWrap/>
              <w:topLinePunct w:val="0"/>
              <w:autoSpaceDE/>
              <w:autoSpaceDN/>
              <w:bidi w:val="0"/>
              <w:adjustRightInd w:val="0"/>
              <w:snapToGrid w:val="0"/>
              <w:spacing w:line="264" w:lineRule="auto"/>
              <w:jc w:val="left"/>
              <w:textAlignment w:val="auto"/>
              <w:rPr>
                <w:rFonts w:hint="eastAsia"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sz w:val="24"/>
                <w:szCs w:val="24"/>
              </w:rPr>
              <w:t>保修</w:t>
            </w:r>
            <w:r>
              <w:rPr>
                <w:rFonts w:ascii="宋体" w:hAnsi="宋体"/>
                <w:b/>
                <w:sz w:val="24"/>
                <w:szCs w:val="24"/>
              </w:rPr>
              <w:t>及售后服务</w:t>
            </w:r>
            <w:r>
              <w:rPr>
                <w:rFonts w:hint="eastAsia" w:ascii="宋体" w:hAnsi="宋体"/>
                <w:b/>
                <w:sz w:val="24"/>
                <w:szCs w:val="24"/>
              </w:rPr>
              <w:t>：</w:t>
            </w:r>
            <w:r>
              <w:rPr>
                <w:rFonts w:hint="eastAsia" w:ascii="宋体" w:hAnsi="宋体"/>
                <w:sz w:val="24"/>
                <w:szCs w:val="24"/>
              </w:rPr>
              <w:t>自验收之日起质保一年，质保期内发生质量问题的，乙方应自接到甲方异议之日起3个工作日响应并提出有效解决方案，所产生的费用乙方承担。乙方提供必要的技术支持，确保甲方能够及时有效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地</w:t>
            </w:r>
            <w:r>
              <w:rPr>
                <w:rFonts w:hint="eastAsia" w:ascii="宋体" w:hAnsi="宋体"/>
                <w:sz w:val="24"/>
                <w:szCs w:val="24"/>
              </w:rPr>
              <w:t>使用设备。</w:t>
            </w:r>
          </w:p>
        </w:tc>
        <w:tc>
          <w:tcPr>
            <w:tcW w:w="1201" w:type="dxa"/>
            <w:vAlign w:val="center"/>
          </w:tcPr>
          <w:p w14:paraId="324B1D27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  <w:tc>
          <w:tcPr>
            <w:tcW w:w="992" w:type="dxa"/>
            <w:vAlign w:val="center"/>
          </w:tcPr>
          <w:p w14:paraId="06AA2CA0">
            <w:pPr>
              <w:spacing w:line="240" w:lineRule="atLeast"/>
              <w:jc w:val="center"/>
              <w:rPr>
                <w:sz w:val="24"/>
                <w:szCs w:val="24"/>
              </w:rPr>
            </w:pPr>
          </w:p>
        </w:tc>
      </w:tr>
    </w:tbl>
    <w:p w14:paraId="25AB3EFD">
      <w:pPr>
        <w:ind w:right="840"/>
        <w:jc w:val="right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 xml:space="preserve">  </w:t>
      </w:r>
    </w:p>
    <w:p w14:paraId="6B36AD4F">
      <w:pPr>
        <w:ind w:right="840"/>
        <w:jc w:val="right"/>
        <w:rPr>
          <w:sz w:val="24"/>
          <w:szCs w:val="24"/>
        </w:rPr>
      </w:pPr>
      <w:r>
        <w:rPr>
          <w:sz w:val="24"/>
          <w:szCs w:val="24"/>
        </w:rPr>
        <w:t>公司名称</w:t>
      </w:r>
      <w:r>
        <w:rPr>
          <w:rFonts w:hint="eastAsia"/>
          <w:sz w:val="24"/>
          <w:szCs w:val="24"/>
        </w:rPr>
        <w:t>（盖章）：</w:t>
      </w:r>
    </w:p>
    <w:p w14:paraId="6DF8710F">
      <w:pPr>
        <w:ind w:right="840"/>
        <w:jc w:val="right"/>
      </w:pPr>
      <w:r>
        <w:rPr>
          <w:sz w:val="24"/>
          <w:szCs w:val="24"/>
        </w:rPr>
        <w:t>日期</w:t>
      </w:r>
      <w:r>
        <w:rPr>
          <w:rFonts w:hint="eastAsia"/>
          <w:sz w:val="24"/>
          <w:szCs w:val="24"/>
        </w:rPr>
        <w:t>：</w:t>
      </w:r>
    </w:p>
    <w:p w14:paraId="3656B948"/>
    <w:p w14:paraId="42F45DE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C093FAC"/>
    <w:rsid w:val="1C093FAC"/>
    <w:rsid w:val="31557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520</Words>
  <Characters>864</Characters>
  <Lines>0</Lines>
  <Paragraphs>0</Paragraphs>
  <TotalTime>0</TotalTime>
  <ScaleCrop>false</ScaleCrop>
  <LinksUpToDate>false</LinksUpToDate>
  <CharactersWithSpaces>869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2026-06-17T08:47:00Z</dcterms:created>
  <dc:creator>DELL</dc:creator>
  <cp:lastModifiedBy>DELL</cp:lastModifiedBy>
  <dcterms:modified xsi:type="dcterms:W3CDTF">2026-06-23T09:21:19Z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8AD05E2011FA4438B95C5C43833B8740_13</vt:lpwstr>
  </property>
  <property fmtid="{D5CDD505-2E9C-101B-9397-08002B2CF9AE}" pid="4" name="KSOTemplateDocerSaveRecord">
    <vt:lpwstr>eyJoZGlkIjoiN2RmNGQ2MDc0ZGFiNmIyNjNmMmJiNzcxMzg1OWQzY2YifQ==</vt:lpwstr>
  </property>
</Properties>
</file>