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F42D7">
      <w:pPr>
        <w:jc w:val="center"/>
        <w:rPr>
          <w:sz w:val="36"/>
        </w:rPr>
      </w:pPr>
      <w:r>
        <w:rPr>
          <w:sz w:val="36"/>
        </w:rPr>
        <w:t>中国科学技术大学国家同步辐射实验室</w:t>
      </w:r>
    </w:p>
    <w:p w14:paraId="71ADF21F">
      <w:pPr>
        <w:jc w:val="center"/>
        <w:rPr>
          <w:sz w:val="36"/>
        </w:rPr>
      </w:pPr>
      <w:bookmarkStart w:id="1" w:name="_GoBack"/>
      <w:r>
        <w:rPr>
          <w:rFonts w:hint="eastAsia"/>
          <w:sz w:val="36"/>
        </w:rPr>
        <w:t>技术指标供应商确认表</w:t>
      </w:r>
    </w:p>
    <w:bookmarkEnd w:id="1"/>
    <w:p w14:paraId="50584A57"/>
    <w:tbl>
      <w:tblPr>
        <w:tblStyle w:val="3"/>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561"/>
        <w:gridCol w:w="5322"/>
        <w:gridCol w:w="1201"/>
        <w:gridCol w:w="992"/>
      </w:tblGrid>
      <w:tr w14:paraId="20C66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3E29496F">
            <w:pPr>
              <w:spacing w:line="240" w:lineRule="atLeast"/>
              <w:jc w:val="center"/>
              <w:rPr>
                <w:sz w:val="24"/>
                <w:szCs w:val="24"/>
              </w:rPr>
            </w:pPr>
            <w:r>
              <w:rPr>
                <w:rFonts w:hint="eastAsia"/>
                <w:sz w:val="24"/>
                <w:szCs w:val="24"/>
              </w:rPr>
              <w:t>序号</w:t>
            </w:r>
          </w:p>
        </w:tc>
        <w:tc>
          <w:tcPr>
            <w:tcW w:w="1561" w:type="dxa"/>
            <w:vAlign w:val="center"/>
          </w:tcPr>
          <w:p w14:paraId="467D4662">
            <w:pPr>
              <w:spacing w:line="240" w:lineRule="atLeast"/>
              <w:jc w:val="center"/>
              <w:rPr>
                <w:sz w:val="24"/>
                <w:szCs w:val="24"/>
              </w:rPr>
            </w:pPr>
            <w:r>
              <w:rPr>
                <w:rFonts w:hint="eastAsia"/>
                <w:sz w:val="24"/>
                <w:szCs w:val="24"/>
              </w:rPr>
              <w:t>名称</w:t>
            </w:r>
          </w:p>
        </w:tc>
        <w:tc>
          <w:tcPr>
            <w:tcW w:w="5322" w:type="dxa"/>
            <w:vAlign w:val="center"/>
          </w:tcPr>
          <w:p w14:paraId="0B99A1E1">
            <w:pPr>
              <w:spacing w:line="240" w:lineRule="atLeast"/>
              <w:jc w:val="center"/>
              <w:rPr>
                <w:sz w:val="24"/>
                <w:szCs w:val="24"/>
              </w:rPr>
            </w:pPr>
            <w:r>
              <w:rPr>
                <w:rFonts w:hint="eastAsia"/>
                <w:sz w:val="24"/>
                <w:szCs w:val="24"/>
              </w:rPr>
              <w:t>技术指标</w:t>
            </w:r>
          </w:p>
        </w:tc>
        <w:tc>
          <w:tcPr>
            <w:tcW w:w="1201" w:type="dxa"/>
            <w:vAlign w:val="center"/>
          </w:tcPr>
          <w:p w14:paraId="78A93726">
            <w:pPr>
              <w:spacing w:line="240" w:lineRule="atLeast"/>
              <w:jc w:val="center"/>
              <w:rPr>
                <w:sz w:val="24"/>
                <w:szCs w:val="24"/>
              </w:rPr>
            </w:pPr>
            <w:r>
              <w:rPr>
                <w:rFonts w:hint="eastAsia"/>
                <w:sz w:val="24"/>
                <w:szCs w:val="24"/>
              </w:rPr>
              <w:t>偏离说明</w:t>
            </w:r>
          </w:p>
          <w:p w14:paraId="529022B5">
            <w:pPr>
              <w:spacing w:line="240" w:lineRule="atLeast"/>
              <w:jc w:val="center"/>
              <w:rPr>
                <w:sz w:val="24"/>
                <w:szCs w:val="24"/>
              </w:rPr>
            </w:pPr>
            <w:r>
              <w:rPr>
                <w:rFonts w:hint="eastAsia"/>
                <w:sz w:val="24"/>
                <w:szCs w:val="24"/>
              </w:rPr>
              <w:t>(</w:t>
            </w:r>
            <w:r>
              <w:rPr>
                <w:sz w:val="24"/>
                <w:szCs w:val="24"/>
              </w:rPr>
              <w:t>无偏离</w:t>
            </w:r>
            <w:r>
              <w:rPr>
                <w:rFonts w:hint="eastAsia"/>
                <w:sz w:val="24"/>
                <w:szCs w:val="24"/>
              </w:rPr>
              <w:t>/</w:t>
            </w:r>
            <w:r>
              <w:rPr>
                <w:sz w:val="24"/>
                <w:szCs w:val="24"/>
              </w:rPr>
              <w:t>正偏离</w:t>
            </w:r>
            <w:r>
              <w:rPr>
                <w:rFonts w:hint="eastAsia"/>
                <w:sz w:val="24"/>
                <w:szCs w:val="24"/>
              </w:rPr>
              <w:t>/</w:t>
            </w:r>
            <w:r>
              <w:rPr>
                <w:sz w:val="24"/>
                <w:szCs w:val="24"/>
              </w:rPr>
              <w:t>负偏离</w:t>
            </w:r>
            <w:r>
              <w:rPr>
                <w:rFonts w:hint="eastAsia"/>
                <w:sz w:val="24"/>
                <w:szCs w:val="24"/>
              </w:rPr>
              <w:t>)</w:t>
            </w:r>
          </w:p>
        </w:tc>
        <w:tc>
          <w:tcPr>
            <w:tcW w:w="992" w:type="dxa"/>
            <w:vAlign w:val="center"/>
          </w:tcPr>
          <w:p w14:paraId="744AE6C5">
            <w:pPr>
              <w:spacing w:line="240" w:lineRule="atLeast"/>
              <w:jc w:val="center"/>
              <w:rPr>
                <w:sz w:val="24"/>
                <w:szCs w:val="24"/>
              </w:rPr>
            </w:pPr>
            <w:r>
              <w:rPr>
                <w:rFonts w:hint="eastAsia"/>
                <w:sz w:val="24"/>
                <w:szCs w:val="24"/>
              </w:rPr>
              <w:t>偏离值</w:t>
            </w:r>
          </w:p>
        </w:tc>
      </w:tr>
      <w:tr w14:paraId="6C24D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705" w:type="dxa"/>
            <w:vAlign w:val="center"/>
          </w:tcPr>
          <w:p w14:paraId="6B5478EA">
            <w:pPr>
              <w:spacing w:line="240" w:lineRule="atLeast"/>
              <w:jc w:val="center"/>
              <w:rPr>
                <w:sz w:val="24"/>
                <w:szCs w:val="24"/>
              </w:rPr>
            </w:pPr>
            <w:r>
              <w:rPr>
                <w:rFonts w:hint="eastAsia"/>
                <w:sz w:val="24"/>
                <w:szCs w:val="24"/>
              </w:rPr>
              <w:t>1</w:t>
            </w:r>
          </w:p>
        </w:tc>
        <w:tc>
          <w:tcPr>
            <w:tcW w:w="1561" w:type="dxa"/>
            <w:tcBorders>
              <w:top w:val="single" w:color="auto" w:sz="4" w:space="0"/>
              <w:left w:val="single" w:color="auto" w:sz="4" w:space="0"/>
              <w:right w:val="single" w:color="auto" w:sz="4" w:space="0"/>
            </w:tcBorders>
            <w:shd w:val="clear" w:color="auto" w:fill="auto"/>
            <w:vAlign w:val="center"/>
          </w:tcPr>
          <w:p w14:paraId="6F6455D1">
            <w:pPr>
              <w:keepNext w:val="0"/>
              <w:keepLines w:val="0"/>
              <w:pageBreakBefore w:val="0"/>
              <w:widowControl w:val="0"/>
              <w:tabs>
                <w:tab w:val="left" w:pos="6915"/>
              </w:tabs>
              <w:kinsoku/>
              <w:wordWrap/>
              <w:overflowPunct w:val="0"/>
              <w:topLinePunct w:val="0"/>
              <w:autoSpaceDE/>
              <w:autoSpaceDN/>
              <w:bidi w:val="0"/>
              <w:adjustRightInd w:val="0"/>
              <w:snapToGrid w:val="0"/>
              <w:spacing w:line="264" w:lineRule="auto"/>
              <w:jc w:val="center"/>
              <w:textAlignment w:val="auto"/>
              <w:rPr>
                <w:rFonts w:hint="eastAsia" w:asciiTheme="minorEastAsia" w:hAnsiTheme="minorEastAsia" w:eastAsiaTheme="minorEastAsia"/>
                <w:bCs/>
                <w:sz w:val="24"/>
              </w:rPr>
            </w:pPr>
            <w:r>
              <w:rPr>
                <w:rFonts w:hint="eastAsia" w:asciiTheme="minorEastAsia" w:hAnsiTheme="minorEastAsia" w:eastAsiaTheme="minorEastAsia"/>
                <w:bCs/>
                <w:sz w:val="24"/>
              </w:rPr>
              <w:t>参考信号</w:t>
            </w:r>
          </w:p>
          <w:p w14:paraId="72D7432B">
            <w:pPr>
              <w:keepNext w:val="0"/>
              <w:keepLines w:val="0"/>
              <w:pageBreakBefore w:val="0"/>
              <w:widowControl w:val="0"/>
              <w:tabs>
                <w:tab w:val="left" w:pos="6915"/>
              </w:tabs>
              <w:kinsoku/>
              <w:wordWrap/>
              <w:overflowPunct w:val="0"/>
              <w:topLinePunct w:val="0"/>
              <w:autoSpaceDE/>
              <w:autoSpaceDN/>
              <w:bidi w:val="0"/>
              <w:adjustRightInd w:val="0"/>
              <w:snapToGrid w:val="0"/>
              <w:spacing w:line="264" w:lineRule="auto"/>
              <w:jc w:val="center"/>
              <w:textAlignment w:val="auto"/>
              <w:rPr>
                <w:rFonts w:hint="default" w:eastAsiaTheme="minorEastAsia"/>
                <w:sz w:val="24"/>
                <w:szCs w:val="24"/>
                <w:lang w:val="en-US" w:eastAsia="zh-CN"/>
              </w:rPr>
            </w:pPr>
            <w:r>
              <w:rPr>
                <w:rFonts w:hint="eastAsia" w:asciiTheme="minorEastAsia" w:hAnsiTheme="minorEastAsia" w:eastAsiaTheme="minorEastAsia"/>
                <w:bCs/>
                <w:sz w:val="24"/>
              </w:rPr>
              <w:t>同步系统</w:t>
            </w:r>
          </w:p>
        </w:tc>
        <w:tc>
          <w:tcPr>
            <w:tcW w:w="5322" w:type="dxa"/>
            <w:vAlign w:val="center"/>
          </w:tcPr>
          <w:p w14:paraId="3431937B">
            <w:pPr>
              <w:tabs>
                <w:tab w:val="left" w:pos="6915"/>
              </w:tabs>
              <w:ind w:firstLine="480" w:firstLineChars="200"/>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采购的产品包括激光调制控制器1台，同步发送端1台，Synchead同步控制器2台。基本功能要求：用以实现参考线同步信号的分发，包括激光器一路信号同步，低电平一路信号同步，电子加速器两根加速管pickup的相位校准。参数要求为：</w:t>
            </w:r>
          </w:p>
          <w:p w14:paraId="0F771E1E">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bCs w:val="0"/>
                <w:sz w:val="24"/>
                <w:szCs w:val="24"/>
              </w:rPr>
              <w:t>一、激光调制控制器</w:t>
            </w:r>
          </w:p>
          <w:p w14:paraId="583EBD28">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（1）包括1550nm窄线宽激光器及信号强度调制器、光放大器和偏置控制器, 参考信号频率输入范围0.3GHz-10GHz；</w:t>
            </w:r>
          </w:p>
          <w:p w14:paraId="248C0139">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（2）采用无扰动偏置电压控制方案；</w:t>
            </w:r>
          </w:p>
          <w:p w14:paraId="5E8EABD2">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（3）输出调制光幅度可调（</w:t>
            </w:r>
            <w:r>
              <w:rPr>
                <w:rFonts w:hint="eastAsia" w:ascii="宋体" w:hAnsi="宋体" w:eastAsia="宋体" w:cs="宋体"/>
                <w:b w:val="0"/>
                <w:bCs/>
                <w:sz w:val="24"/>
                <w:szCs w:val="24"/>
              </w:rPr>
              <w:t>≥</w:t>
            </w:r>
            <w:r>
              <w:rPr>
                <w:rFonts w:hint="default" w:ascii="Times New Roman" w:hAnsi="Times New Roman" w:eastAsia="宋体" w:cs="Times New Roman"/>
                <w:b w:val="0"/>
                <w:bCs/>
                <w:sz w:val="24"/>
                <w:szCs w:val="24"/>
              </w:rPr>
              <w:t>500 mW）；</w:t>
            </w:r>
          </w:p>
          <w:p w14:paraId="69861FB0">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（4）系统关键光路、电路具有温控，温控峰峰值小于0.05℃；</w:t>
            </w:r>
          </w:p>
          <w:p w14:paraId="1A14B12D">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（5）工作环境温度范围：15~35℃。；</w:t>
            </w:r>
          </w:p>
          <w:p w14:paraId="5697D1DB">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（6）贮存环境温度范围：-15~55℃。</w:t>
            </w:r>
          </w:p>
          <w:p w14:paraId="73B62C74">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bCs w:val="0"/>
                <w:sz w:val="24"/>
                <w:szCs w:val="24"/>
              </w:rPr>
              <w:t>二、同步发送端</w:t>
            </w:r>
          </w:p>
          <w:p w14:paraId="2766AD45">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（1）连续光载波方案同步锁相，为激光器和两个Synchead机箱提供三路锁相同步的2998.2MHz信号；</w:t>
            </w:r>
          </w:p>
          <w:p w14:paraId="0BBD59E2">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（2）系统闭环补偿范围 &gt;600 ps；</w:t>
            </w:r>
          </w:p>
          <w:p w14:paraId="5D7CAEB9">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（3）输出信号幅值</w:t>
            </w:r>
            <w:r>
              <w:rPr>
                <w:rFonts w:hint="eastAsia" w:ascii="宋体" w:hAnsi="宋体" w:eastAsia="宋体" w:cs="宋体"/>
                <w:b w:val="0"/>
                <w:bCs/>
                <w:sz w:val="24"/>
                <w:szCs w:val="24"/>
              </w:rPr>
              <w:t>≥</w:t>
            </w:r>
            <w:r>
              <w:rPr>
                <w:rFonts w:hint="default" w:ascii="Times New Roman" w:hAnsi="Times New Roman" w:eastAsia="宋体" w:cs="Times New Roman"/>
                <w:b w:val="0"/>
                <w:bCs/>
                <w:sz w:val="24"/>
                <w:szCs w:val="24"/>
              </w:rPr>
              <w:t>3dbm，输出信号慢飘</w:t>
            </w:r>
            <w:r>
              <w:rPr>
                <w:rFonts w:hint="eastAsia" w:ascii="宋体" w:hAnsi="宋体" w:eastAsia="宋体" w:cs="宋体"/>
                <w:b w:val="0"/>
                <w:bCs/>
                <w:sz w:val="24"/>
                <w:szCs w:val="24"/>
              </w:rPr>
              <w:t>≤</w:t>
            </w:r>
            <w:r>
              <w:rPr>
                <w:rFonts w:hint="default" w:ascii="Times New Roman" w:hAnsi="Times New Roman" w:eastAsia="宋体" w:cs="Times New Roman"/>
                <w:b w:val="0"/>
                <w:bCs/>
                <w:sz w:val="24"/>
                <w:szCs w:val="24"/>
              </w:rPr>
              <w:t>50fs RMS，附加相位噪声</w:t>
            </w:r>
            <w:r>
              <w:rPr>
                <w:rFonts w:hint="eastAsia" w:ascii="宋体" w:hAnsi="宋体" w:eastAsia="宋体" w:cs="宋体"/>
                <w:b w:val="0"/>
                <w:bCs/>
                <w:sz w:val="24"/>
                <w:szCs w:val="24"/>
              </w:rPr>
              <w:t>≤</w:t>
            </w:r>
            <w:r>
              <w:rPr>
                <w:rFonts w:hint="default" w:ascii="Times New Roman" w:hAnsi="Times New Roman" w:eastAsia="宋体" w:cs="Times New Roman"/>
                <w:b w:val="0"/>
                <w:bCs/>
                <w:sz w:val="24"/>
                <w:szCs w:val="24"/>
              </w:rPr>
              <w:t>20fs@10Hz~10MHz；</w:t>
            </w:r>
          </w:p>
          <w:p w14:paraId="18EC9915">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（4）系统关键光路、电路具有温控，温控峰峰值小于0.05℃；</w:t>
            </w:r>
          </w:p>
          <w:p w14:paraId="28AF161F">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（5）数字主板以FPGA实现锁相算法，采用EPICS IOC控制程序，提供PV值接口；</w:t>
            </w:r>
          </w:p>
          <w:p w14:paraId="47838006">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（6）工作环境温度范围：15~35℃；</w:t>
            </w:r>
          </w:p>
          <w:p w14:paraId="080A1B1E">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（7）贮存环境温度范围：-15~55℃。</w:t>
            </w:r>
          </w:p>
          <w:p w14:paraId="390FB1EE">
            <w:pPr>
              <w:tabs>
                <w:tab w:val="left" w:pos="6915"/>
              </w:tabs>
              <w:jc w:val="both"/>
              <w:rPr>
                <w:rFonts w:hint="default" w:ascii="Times New Roman" w:hAnsi="Times New Roman" w:eastAsia="宋体" w:cs="Times New Roman"/>
                <w:b/>
                <w:bCs w:val="0"/>
                <w:sz w:val="24"/>
                <w:szCs w:val="24"/>
              </w:rPr>
            </w:pPr>
            <w:r>
              <w:rPr>
                <w:rFonts w:hint="default" w:ascii="Times New Roman" w:hAnsi="Times New Roman" w:eastAsia="宋体" w:cs="Times New Roman"/>
                <w:b/>
                <w:bCs w:val="0"/>
                <w:sz w:val="24"/>
                <w:szCs w:val="24"/>
              </w:rPr>
              <w:t>三、Synchead同步控制器</w:t>
            </w:r>
          </w:p>
          <w:p w14:paraId="4EABB9ED">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（1）为加速器pick-up端提供基准信号，信号慢飘</w:t>
            </w:r>
            <w:r>
              <w:rPr>
                <w:rFonts w:hint="eastAsia" w:ascii="宋体" w:hAnsi="宋体" w:eastAsia="宋体" w:cs="宋体"/>
                <w:b w:val="0"/>
                <w:bCs/>
                <w:sz w:val="24"/>
                <w:szCs w:val="24"/>
              </w:rPr>
              <w:t>≤</w:t>
            </w:r>
            <w:r>
              <w:rPr>
                <w:rFonts w:hint="default" w:ascii="Times New Roman" w:hAnsi="Times New Roman" w:eastAsia="宋体" w:cs="Times New Roman"/>
                <w:b w:val="0"/>
                <w:bCs/>
                <w:sz w:val="24"/>
                <w:szCs w:val="24"/>
              </w:rPr>
              <w:t>50fs RMS；</w:t>
            </w:r>
          </w:p>
          <w:p w14:paraId="3DD6EE91">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（2）要求基准信号与pick-up信号一起时分复用回传并补偿pick-up信号温漂；</w:t>
            </w:r>
          </w:p>
          <w:p w14:paraId="7D03B28D">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（3）系统关键模拟电路具有屏蔽和温控，温控峰峰值小于0.05℃；</w:t>
            </w:r>
          </w:p>
          <w:p w14:paraId="407EB865">
            <w:pPr>
              <w:tabs>
                <w:tab w:val="left" w:pos="6915"/>
              </w:tabs>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（4）工作环境温度范围：15~35℃；</w:t>
            </w:r>
          </w:p>
          <w:p w14:paraId="69D8A251">
            <w:pPr>
              <w:tabs>
                <w:tab w:val="left" w:pos="6915"/>
              </w:tabs>
              <w:jc w:val="both"/>
              <w:rPr>
                <w:rFonts w:hint="eastAsia"/>
                <w:bCs/>
                <w:sz w:val="24"/>
                <w:szCs w:val="24"/>
              </w:rPr>
            </w:pPr>
            <w:r>
              <w:rPr>
                <w:rFonts w:hint="default" w:ascii="Times New Roman" w:hAnsi="Times New Roman" w:eastAsia="宋体" w:cs="Times New Roman"/>
                <w:b w:val="0"/>
                <w:bCs/>
                <w:sz w:val="24"/>
                <w:szCs w:val="24"/>
              </w:rPr>
              <w:t>（5）贮存环境温度范围：-15~55℃；</w:t>
            </w:r>
          </w:p>
        </w:tc>
        <w:tc>
          <w:tcPr>
            <w:tcW w:w="1201" w:type="dxa"/>
            <w:vAlign w:val="center"/>
          </w:tcPr>
          <w:p w14:paraId="3494B2B7">
            <w:pPr>
              <w:spacing w:line="240" w:lineRule="atLeast"/>
              <w:jc w:val="center"/>
              <w:rPr>
                <w:sz w:val="24"/>
                <w:szCs w:val="24"/>
              </w:rPr>
            </w:pPr>
          </w:p>
        </w:tc>
        <w:tc>
          <w:tcPr>
            <w:tcW w:w="992" w:type="dxa"/>
            <w:vAlign w:val="center"/>
          </w:tcPr>
          <w:p w14:paraId="4AB5E24F">
            <w:pPr>
              <w:spacing w:line="240" w:lineRule="atLeast"/>
              <w:jc w:val="center"/>
              <w:rPr>
                <w:sz w:val="24"/>
                <w:szCs w:val="24"/>
              </w:rPr>
            </w:pPr>
          </w:p>
        </w:tc>
      </w:tr>
      <w:tr w14:paraId="41B7F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705" w:type="dxa"/>
            <w:vAlign w:val="center"/>
          </w:tcPr>
          <w:p w14:paraId="1FB5921D">
            <w:pPr>
              <w:spacing w:line="240" w:lineRule="atLeast"/>
              <w:jc w:val="center"/>
              <w:rPr>
                <w:sz w:val="24"/>
                <w:szCs w:val="24"/>
              </w:rPr>
            </w:pPr>
            <w:r>
              <w:rPr>
                <w:sz w:val="24"/>
                <w:szCs w:val="24"/>
              </w:rPr>
              <w:t>2</w:t>
            </w:r>
          </w:p>
        </w:tc>
        <w:tc>
          <w:tcPr>
            <w:tcW w:w="1561" w:type="dxa"/>
            <w:tcBorders>
              <w:top w:val="single" w:color="auto" w:sz="4" w:space="0"/>
              <w:left w:val="single" w:color="auto" w:sz="4" w:space="0"/>
              <w:bottom w:val="single" w:color="auto" w:sz="4" w:space="0"/>
              <w:right w:val="single" w:color="auto" w:sz="4" w:space="0"/>
            </w:tcBorders>
            <w:shd w:val="clear" w:color="auto" w:fill="auto"/>
            <w:vAlign w:val="center"/>
          </w:tcPr>
          <w:p w14:paraId="6E87ED25">
            <w:pPr>
              <w:widowControl/>
              <w:spacing w:line="240" w:lineRule="atLeast"/>
              <w:jc w:val="center"/>
              <w:rPr>
                <w:sz w:val="24"/>
                <w:szCs w:val="24"/>
              </w:rPr>
            </w:pPr>
            <w:r>
              <w:rPr>
                <w:rFonts w:hint="eastAsia"/>
                <w:sz w:val="24"/>
                <w:szCs w:val="24"/>
              </w:rPr>
              <w:t>商务条款</w:t>
            </w:r>
          </w:p>
        </w:tc>
        <w:tc>
          <w:tcPr>
            <w:tcW w:w="5322" w:type="dxa"/>
            <w:tcBorders>
              <w:top w:val="single" w:color="auto" w:sz="4" w:space="0"/>
              <w:left w:val="nil"/>
              <w:bottom w:val="single" w:color="auto" w:sz="4" w:space="0"/>
              <w:right w:val="single" w:color="auto" w:sz="4" w:space="0"/>
            </w:tcBorders>
            <w:shd w:val="clear" w:color="auto" w:fill="auto"/>
            <w:vAlign w:val="center"/>
          </w:tcPr>
          <w:p w14:paraId="46019ABD">
            <w:pPr>
              <w:tabs>
                <w:tab w:val="left" w:pos="6915"/>
              </w:tabs>
              <w:jc w:val="both"/>
              <w:rPr>
                <w:rFonts w:hint="default" w:ascii="Times New Roman" w:hAnsi="Times New Roman" w:eastAsia="宋体" w:cs="Times New Roman"/>
                <w:bCs/>
                <w:sz w:val="24"/>
                <w:szCs w:val="24"/>
              </w:rPr>
            </w:pPr>
            <w:r>
              <w:rPr>
                <w:rFonts w:hint="default" w:ascii="Times New Roman" w:hAnsi="Times New Roman" w:eastAsia="宋体" w:cs="Times New Roman"/>
                <w:b/>
                <w:sz w:val="24"/>
                <w:szCs w:val="24"/>
              </w:rPr>
              <w:t>交货期：</w:t>
            </w:r>
            <w:r>
              <w:rPr>
                <w:rFonts w:hint="eastAsia" w:ascii="Times New Roman" w:hAnsi="Times New Roman" w:eastAsia="宋体" w:cs="Times New Roman"/>
                <w:bCs/>
                <w:sz w:val="24"/>
                <w:szCs w:val="24"/>
                <w:lang w:val="en-US" w:eastAsia="zh-CN"/>
              </w:rPr>
              <w:t>合同签订</w:t>
            </w:r>
            <w:r>
              <w:rPr>
                <w:rFonts w:hint="default" w:ascii="Times New Roman" w:hAnsi="Times New Roman" w:cs="Times New Roman"/>
                <w:bCs/>
                <w:sz w:val="24"/>
                <w:szCs w:val="24"/>
              </w:rPr>
              <w:t>后三个月内</w:t>
            </w:r>
          </w:p>
          <w:p w14:paraId="065B7F22">
            <w:pPr>
              <w:tabs>
                <w:tab w:val="left" w:pos="6915"/>
              </w:tabs>
              <w:jc w:val="both"/>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
                <w:sz w:val="24"/>
                <w:szCs w:val="24"/>
              </w:rPr>
              <w:t>交付进度：</w:t>
            </w:r>
            <w:r>
              <w:rPr>
                <w:rFonts w:hint="default" w:ascii="Times New Roman" w:hAnsi="Times New Roman" w:eastAsia="宋体" w:cs="Times New Roman"/>
                <w:bCs/>
                <w:sz w:val="24"/>
                <w:szCs w:val="24"/>
                <w:lang w:val="en-US" w:eastAsia="zh-CN"/>
              </w:rPr>
              <w:t>一次性交付</w:t>
            </w:r>
          </w:p>
          <w:p w14:paraId="5B719D26">
            <w:pPr>
              <w:keepNext w:val="0"/>
              <w:keepLines w:val="0"/>
              <w:pageBreakBefore w:val="0"/>
              <w:kinsoku/>
              <w:wordWrap/>
              <w:topLinePunct w:val="0"/>
              <w:autoSpaceDE/>
              <w:autoSpaceDN/>
              <w:bidi w:val="0"/>
              <w:adjustRightInd w:val="0"/>
              <w:snapToGrid w:val="0"/>
              <w:spacing w:line="264" w:lineRule="auto"/>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付款方式：</w:t>
            </w:r>
            <w:r>
              <w:rPr>
                <w:rFonts w:hint="default" w:ascii="Times New Roman" w:hAnsi="Times New Roman" w:cs="Times New Roman"/>
                <w:bCs/>
                <w:sz w:val="24"/>
                <w:szCs w:val="24"/>
              </w:rPr>
              <w:t>合同签订后预付合同总金额的</w:t>
            </w:r>
            <w:r>
              <w:rPr>
                <w:rFonts w:hint="eastAsia" w:ascii="Times New Roman" w:hAnsi="Times New Roman" w:cs="Times New Roman"/>
                <w:bCs/>
                <w:sz w:val="24"/>
                <w:szCs w:val="24"/>
                <w:lang w:val="en-US" w:eastAsia="zh-CN"/>
              </w:rPr>
              <w:t>3</w:t>
            </w:r>
            <w:r>
              <w:rPr>
                <w:rFonts w:hint="default" w:ascii="Times New Roman" w:hAnsi="Times New Roman" w:cs="Times New Roman"/>
                <w:bCs/>
                <w:sz w:val="24"/>
                <w:szCs w:val="24"/>
              </w:rPr>
              <w:t>0%</w:t>
            </w:r>
            <w:r>
              <w:rPr>
                <w:rFonts w:hint="default" w:ascii="Times New Roman" w:hAnsi="Times New Roman" w:cs="Times New Roman"/>
                <w:bCs/>
                <w:sz w:val="24"/>
                <w:szCs w:val="24"/>
                <w:lang w:eastAsia="zh-CN"/>
              </w:rPr>
              <w:t>，出厂测试合格并到货付60%合同款</w:t>
            </w:r>
            <w:bookmarkStart w:id="0" w:name="OLE_LINK42"/>
            <w:r>
              <w:rPr>
                <w:rFonts w:hint="eastAsia" w:ascii="Times New Roman" w:hAnsi="Times New Roman" w:cs="Times New Roman"/>
                <w:bCs/>
                <w:sz w:val="24"/>
                <w:szCs w:val="24"/>
                <w:lang w:eastAsia="zh-CN"/>
              </w:rPr>
              <w:t>，</w:t>
            </w:r>
            <w:r>
              <w:rPr>
                <w:rFonts w:hint="default" w:ascii="Times New Roman" w:hAnsi="Times New Roman" w:cs="Times New Roman"/>
                <w:bCs/>
                <w:sz w:val="24"/>
                <w:szCs w:val="24"/>
                <w:lang w:eastAsia="zh-CN"/>
              </w:rPr>
              <w:t>现场调试</w:t>
            </w:r>
            <w:bookmarkEnd w:id="0"/>
            <w:r>
              <w:rPr>
                <w:rFonts w:hint="default" w:ascii="Times New Roman" w:hAnsi="Times New Roman" w:cs="Times New Roman"/>
                <w:bCs/>
                <w:sz w:val="24"/>
                <w:szCs w:val="24"/>
                <w:lang w:eastAsia="zh-CN"/>
              </w:rPr>
              <w:t>合格后付10%尾款</w:t>
            </w:r>
            <w:r>
              <w:rPr>
                <w:rFonts w:hint="default" w:ascii="Times New Roman" w:hAnsi="Times New Roman" w:cs="Times New Roman"/>
                <w:bCs/>
                <w:sz w:val="24"/>
                <w:szCs w:val="24"/>
              </w:rPr>
              <w:t>。</w:t>
            </w:r>
          </w:p>
          <w:p w14:paraId="50609E60">
            <w:pPr>
              <w:keepNext w:val="0"/>
              <w:keepLines w:val="0"/>
              <w:pageBreakBefore w:val="0"/>
              <w:widowControl/>
              <w:tabs>
                <w:tab w:val="left" w:pos="312"/>
              </w:tabs>
              <w:kinsoku/>
              <w:wordWrap/>
              <w:topLinePunct w:val="0"/>
              <w:autoSpaceDE/>
              <w:autoSpaceDN/>
              <w:bidi w:val="0"/>
              <w:adjustRightInd w:val="0"/>
              <w:snapToGrid w:val="0"/>
              <w:spacing w:line="264" w:lineRule="auto"/>
              <w:jc w:val="both"/>
              <w:textAlignment w:val="auto"/>
              <w:rPr>
                <w:rFonts w:hint="default" w:ascii="Times New Roman" w:hAnsi="Times New Roman" w:cs="Times New Roman"/>
                <w:b/>
                <w:szCs w:val="21"/>
              </w:rPr>
            </w:pPr>
            <w:r>
              <w:rPr>
                <w:rFonts w:hint="default" w:ascii="Times New Roman" w:hAnsi="Times New Roman" w:eastAsia="宋体" w:cs="Times New Roman"/>
                <w:b/>
                <w:sz w:val="24"/>
                <w:szCs w:val="24"/>
              </w:rPr>
              <w:t>验收指标及验收要求：</w:t>
            </w:r>
          </w:p>
          <w:p w14:paraId="5B7EB1C6">
            <w:pPr>
              <w:pStyle w:val="5"/>
              <w:numPr>
                <w:ilvl w:val="0"/>
                <w:numId w:val="1"/>
              </w:numPr>
              <w:tabs>
                <w:tab w:val="left" w:pos="6915"/>
              </w:tabs>
              <w:ind w:firstLineChars="0"/>
              <w:jc w:val="left"/>
              <w:rPr>
                <w:rFonts w:hint="default" w:ascii="Times New Roman" w:hAnsi="Times New Roman" w:cs="Times New Roman"/>
                <w:sz w:val="24"/>
                <w:szCs w:val="24"/>
              </w:rPr>
            </w:pPr>
            <w:r>
              <w:rPr>
                <w:rFonts w:hint="default" w:ascii="Times New Roman" w:hAnsi="Times New Roman" w:cs="Times New Roman"/>
                <w:sz w:val="24"/>
                <w:szCs w:val="24"/>
              </w:rPr>
              <w:t>相位噪声：需使用高端信号源分析仪测试2998.2 MHz信号源与输出信号在10Hz-10MHz频段的相噪，确认附加相噪</w:t>
            </w:r>
            <w:r>
              <w:rPr>
                <w:rFonts w:hint="eastAsia" w:ascii="宋体" w:hAnsi="宋体" w:eastAsia="宋体" w:cs="宋体"/>
                <w:sz w:val="24"/>
                <w:szCs w:val="24"/>
              </w:rPr>
              <w:t>≤</w:t>
            </w:r>
            <w:r>
              <w:rPr>
                <w:rFonts w:hint="default" w:ascii="Times New Roman" w:hAnsi="Times New Roman" w:cs="Times New Roman"/>
                <w:sz w:val="24"/>
                <w:szCs w:val="24"/>
              </w:rPr>
              <w:t>20 fs。</w:t>
            </w:r>
          </w:p>
          <w:p w14:paraId="2676D4F2">
            <w:pPr>
              <w:pStyle w:val="5"/>
              <w:numPr>
                <w:ilvl w:val="0"/>
                <w:numId w:val="1"/>
              </w:numPr>
              <w:tabs>
                <w:tab w:val="left" w:pos="6915"/>
              </w:tabs>
              <w:ind w:firstLineChars="0"/>
              <w:jc w:val="left"/>
              <w:rPr>
                <w:rFonts w:hint="default" w:ascii="Times New Roman" w:hAnsi="Times New Roman" w:cs="Times New Roman"/>
                <w:b/>
                <w:sz w:val="24"/>
                <w:szCs w:val="24"/>
              </w:rPr>
            </w:pPr>
            <w:r>
              <w:rPr>
                <w:rFonts w:hint="default" w:ascii="Times New Roman" w:hAnsi="Times New Roman" w:cs="Times New Roman"/>
                <w:sz w:val="24"/>
                <w:szCs w:val="24"/>
              </w:rPr>
              <w:t>长期慢漂：使用环外独立的高精度鉴相系统计算基准信号和接收端输出信号之间的相位差，连续记录至少24h，计算RMS值，确认其</w:t>
            </w:r>
            <w:r>
              <w:rPr>
                <w:rFonts w:hint="eastAsia" w:ascii="宋体" w:hAnsi="宋体" w:eastAsia="宋体" w:cs="宋体"/>
                <w:sz w:val="24"/>
                <w:szCs w:val="24"/>
              </w:rPr>
              <w:t>≤</w:t>
            </w:r>
            <w:r>
              <w:rPr>
                <w:rFonts w:hint="default" w:ascii="Times New Roman" w:hAnsi="Times New Roman" w:cs="Times New Roman"/>
                <w:sz w:val="24"/>
                <w:szCs w:val="24"/>
              </w:rPr>
              <w:t>50 fs。</w:t>
            </w:r>
          </w:p>
          <w:p w14:paraId="37D3FD7D">
            <w:pPr>
              <w:pStyle w:val="5"/>
              <w:numPr>
                <w:ilvl w:val="0"/>
                <w:numId w:val="1"/>
              </w:numPr>
              <w:tabs>
                <w:tab w:val="left" w:pos="6915"/>
              </w:tabs>
              <w:ind w:firstLineChars="0"/>
              <w:jc w:val="left"/>
              <w:rPr>
                <w:rFonts w:hint="default" w:ascii="Times New Roman" w:hAnsi="Times New Roman" w:cs="Times New Roman"/>
                <w:b/>
                <w:sz w:val="24"/>
                <w:szCs w:val="24"/>
              </w:rPr>
            </w:pPr>
            <w:r>
              <w:rPr>
                <w:rFonts w:hint="default" w:ascii="Times New Roman" w:hAnsi="Times New Roman" w:cs="Times New Roman"/>
                <w:sz w:val="24"/>
                <w:szCs w:val="24"/>
              </w:rPr>
              <w:t>EPICS 接入验证：在现场验收阶段，供方需将同步发送端接入局域网。测试人员通过Phoebus界面能正常读取所有关键节点的温度、电压等PV值，并能通过界面下发偏置电压调节、补偿延时等控制指令。</w:t>
            </w:r>
          </w:p>
          <w:p w14:paraId="7963D394">
            <w:pPr>
              <w:pStyle w:val="5"/>
              <w:numPr>
                <w:ilvl w:val="0"/>
                <w:numId w:val="1"/>
              </w:numPr>
              <w:tabs>
                <w:tab w:val="left" w:pos="6915"/>
              </w:tabs>
              <w:ind w:firstLineChars="0"/>
              <w:jc w:val="left"/>
              <w:rPr>
                <w:rFonts w:hint="default" w:ascii="Times New Roman" w:hAnsi="Times New Roman" w:cs="Times New Roman"/>
                <w:b/>
                <w:bCs/>
                <w:sz w:val="24"/>
                <w:szCs w:val="24"/>
              </w:rPr>
            </w:pPr>
            <w:r>
              <w:rPr>
                <w:rFonts w:hint="default" w:ascii="Times New Roman" w:hAnsi="Times New Roman" w:cs="Times New Roman"/>
                <w:sz w:val="24"/>
                <w:szCs w:val="24"/>
              </w:rPr>
              <w:t>时分复用与闭环补偿测试：使用环外独立的高精度鉴相系统计算基准信号和Synchead输出信号之间的相位差，连续记录至少24h，计算RMS值，确认其</w:t>
            </w:r>
            <w:r>
              <w:rPr>
                <w:rFonts w:hint="eastAsia" w:ascii="宋体" w:hAnsi="宋体" w:eastAsia="宋体" w:cs="宋体"/>
                <w:sz w:val="24"/>
                <w:szCs w:val="24"/>
              </w:rPr>
              <w:t>≤</w:t>
            </w:r>
            <w:r>
              <w:rPr>
                <w:rFonts w:hint="default" w:ascii="Times New Roman" w:hAnsi="Times New Roman" w:cs="Times New Roman"/>
                <w:sz w:val="24"/>
                <w:szCs w:val="24"/>
              </w:rPr>
              <w:t>50 fs；利用长距离电缆模拟加速器中pick-up信号的真实传输链路，使用环外独立的高精度鉴相系统计算24h内Synchead经时分复用传输回接收端两信号的信号漂移是否一致。</w:t>
            </w:r>
          </w:p>
          <w:p w14:paraId="41FE32FB">
            <w:pPr>
              <w:pStyle w:val="5"/>
              <w:numPr>
                <w:ilvl w:val="0"/>
                <w:numId w:val="1"/>
              </w:numPr>
              <w:tabs>
                <w:tab w:val="left" w:pos="6915"/>
              </w:tabs>
              <w:ind w:firstLineChars="0"/>
              <w:jc w:val="left"/>
              <w:rPr>
                <w:rFonts w:hint="default" w:ascii="Times New Roman" w:hAnsi="Times New Roman" w:eastAsia="宋体" w:cs="Times New Roman"/>
                <w:b/>
                <w:sz w:val="24"/>
                <w:szCs w:val="24"/>
              </w:rPr>
            </w:pPr>
            <w:r>
              <w:rPr>
                <w:rFonts w:hint="default" w:ascii="Times New Roman" w:hAnsi="Times New Roman" w:cs="Times New Roman"/>
                <w:sz w:val="24"/>
                <w:szCs w:val="24"/>
              </w:rPr>
              <w:t>通过上位机监测恒温箱温度变化。确认温度变化峰峰值小于0.05℃。</w:t>
            </w:r>
          </w:p>
          <w:p w14:paraId="1364B1A5">
            <w:pPr>
              <w:tabs>
                <w:tab w:val="left" w:pos="6915"/>
              </w:tabs>
              <w:jc w:val="both"/>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保修及售后服务：</w:t>
            </w:r>
          </w:p>
          <w:p w14:paraId="35C0A62E">
            <w:pPr>
              <w:tabs>
                <w:tab w:val="left" w:pos="6915"/>
              </w:tabs>
              <w:jc w:val="both"/>
              <w:rPr>
                <w:rFonts w:hint="eastAsia" w:ascii="Times New Roman" w:hAnsi="Times New Roman" w:eastAsia="宋体" w:cs="Times New Roman"/>
                <w:sz w:val="24"/>
                <w:szCs w:val="24"/>
              </w:rPr>
            </w:pPr>
            <w:r>
              <w:rPr>
                <w:rFonts w:hint="default" w:ascii="Times New Roman" w:hAnsi="Times New Roman" w:eastAsia="宋体" w:cs="Times New Roman"/>
                <w:b w:val="0"/>
                <w:bCs/>
                <w:sz w:val="24"/>
                <w:szCs w:val="24"/>
              </w:rPr>
              <w:t>服务网点</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不限</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电话支持</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7×24小时</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服务响应时限</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报修后8小时</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保修期</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两年。</w:t>
            </w:r>
          </w:p>
        </w:tc>
        <w:tc>
          <w:tcPr>
            <w:tcW w:w="1201" w:type="dxa"/>
            <w:vAlign w:val="center"/>
          </w:tcPr>
          <w:p w14:paraId="5D3E4FB5">
            <w:pPr>
              <w:spacing w:line="240" w:lineRule="atLeast"/>
              <w:jc w:val="center"/>
              <w:rPr>
                <w:sz w:val="24"/>
                <w:szCs w:val="24"/>
              </w:rPr>
            </w:pPr>
          </w:p>
        </w:tc>
        <w:tc>
          <w:tcPr>
            <w:tcW w:w="992" w:type="dxa"/>
            <w:vAlign w:val="center"/>
          </w:tcPr>
          <w:p w14:paraId="643744E8">
            <w:pPr>
              <w:spacing w:line="240" w:lineRule="atLeast"/>
              <w:jc w:val="center"/>
              <w:rPr>
                <w:sz w:val="24"/>
                <w:szCs w:val="24"/>
              </w:rPr>
            </w:pPr>
          </w:p>
        </w:tc>
      </w:tr>
    </w:tbl>
    <w:p w14:paraId="09E50913">
      <w:pPr>
        <w:ind w:right="840"/>
        <w:jc w:val="right"/>
        <w:rPr>
          <w:rFonts w:hint="eastAsia"/>
          <w:sz w:val="24"/>
          <w:szCs w:val="24"/>
          <w:lang w:val="en-US" w:eastAsia="zh-CN"/>
        </w:rPr>
      </w:pPr>
      <w:r>
        <w:rPr>
          <w:rFonts w:hint="eastAsia"/>
          <w:sz w:val="24"/>
          <w:szCs w:val="24"/>
          <w:lang w:val="en-US" w:eastAsia="zh-CN"/>
        </w:rPr>
        <w:t xml:space="preserve">  </w:t>
      </w:r>
    </w:p>
    <w:p w14:paraId="7B03329C">
      <w:pPr>
        <w:ind w:right="840"/>
        <w:jc w:val="right"/>
        <w:rPr>
          <w:sz w:val="24"/>
          <w:szCs w:val="24"/>
        </w:rPr>
      </w:pPr>
      <w:r>
        <w:rPr>
          <w:sz w:val="24"/>
          <w:szCs w:val="24"/>
        </w:rPr>
        <w:t>公司名称</w:t>
      </w:r>
      <w:r>
        <w:rPr>
          <w:rFonts w:hint="eastAsia"/>
          <w:sz w:val="24"/>
          <w:szCs w:val="24"/>
        </w:rPr>
        <w:t>（盖章）：</w:t>
      </w:r>
    </w:p>
    <w:p w14:paraId="77E7A2D5">
      <w:pPr>
        <w:ind w:right="840"/>
        <w:jc w:val="right"/>
      </w:pPr>
      <w:r>
        <w:rPr>
          <w:sz w:val="24"/>
          <w:szCs w:val="24"/>
        </w:rPr>
        <w:t>日期</w:t>
      </w:r>
      <w:r>
        <w:rPr>
          <w:rFonts w:hint="eastAsia"/>
          <w:sz w:val="24"/>
          <w:szCs w:val="24"/>
        </w:rPr>
        <w:t>：</w:t>
      </w:r>
    </w:p>
    <w:p w14:paraId="59B4DDFD"/>
    <w:p w14:paraId="4D0C580A"/>
    <w:p w14:paraId="00BC09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3C739F"/>
    <w:multiLevelType w:val="multilevel"/>
    <w:tmpl w:val="703C739F"/>
    <w:lvl w:ilvl="0" w:tentative="0">
      <w:start w:val="1"/>
      <w:numFmt w:val="decimal"/>
      <w:lvlText w:val="%1."/>
      <w:lvlJc w:val="left"/>
      <w:pPr>
        <w:ind w:left="360" w:hanging="36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EF6C24"/>
    <w:rsid w:val="04EF6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2026-07-17T08:11:00Z</dcterms:created>
  <dc:creator>DELL</dc:creator>
  <cp:lastModifiedBy>DELL</cp:lastModifiedBy>
  <dcterms:modified xsi:type="dcterms:W3CDTF">2026-07-17T08:19:53Z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CA44B84E3AC6442EBDC055CEF42545BB_11</vt:lpwstr>
  </property>
  <property fmtid="{D5CDD505-2E9C-101B-9397-08002B2CF9AE}" pid="4" name="KSOTemplateDocerSaveRecord">
    <vt:lpwstr>eyJoZGlkIjoiN2RmNGQ2MDc0ZGFiNmIyNjNmMmJiNzcxMzg1OWQzY2YifQ==</vt:lpwstr>
  </property>
</Properties>
</file>