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45"/>
        <w:gridCol w:w="5604"/>
        <w:gridCol w:w="1227"/>
        <w:gridCol w:w="1000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45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04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EA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EO系统探头</w:t>
            </w:r>
          </w:p>
        </w:tc>
        <w:tc>
          <w:tcPr>
            <w:tcW w:w="5604" w:type="dxa"/>
            <w:vAlign w:val="center"/>
          </w:tcPr>
          <w:p w14:paraId="5D3C175D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 设备组成：真空腔体及观察窗，EO晶体及反射镜，荧光屏及靶架，运动机构及电机控制器，CCD及光路组件，配套线缆及支撑。探头结构示意图附后。</w:t>
            </w:r>
          </w:p>
          <w:p w14:paraId="6559413F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 真空腔体及观察窗要求：</w:t>
            </w:r>
          </w:p>
          <w:p w14:paraId="2C28EE65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2.1 真空腔体束流方向长度（法兰到法兰）400±1mm；</w:t>
            </w:r>
          </w:p>
          <w:p w14:paraId="394E70BC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2.2真空腔体上游法兰为CF35焊接型法兰，下游法兰为CF35松套型法兰；</w:t>
            </w:r>
          </w:p>
          <w:p w14:paraId="1147A02F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2.3法兰和所有真空密封焊缝的总漏率小于5×10^(-10)mbar·L/s；</w:t>
            </w:r>
          </w:p>
          <w:p w14:paraId="03D8F448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2.4 法兰密封刀口严格保护，不允许有任何磕碰、划伤、斑点及其它影响真空密封的缺陷；</w:t>
            </w:r>
          </w:p>
          <w:p w14:paraId="35203364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2.5 束流通孔直径35±0.5mm；</w:t>
            </w:r>
          </w:p>
          <w:p w14:paraId="2F6056E0">
            <w:pPr>
              <w:tabs>
                <w:tab w:val="left" w:pos="6915"/>
              </w:tabs>
              <w:ind w:left="0" w:leftChars="0"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2.6 配备至少2个真空观察窗用于观测腔体内部及通光，真空观察窗规格CF35。</w:t>
            </w:r>
          </w:p>
          <w:p w14:paraId="1DF19729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 EO晶体及反射镜要求：</w:t>
            </w:r>
          </w:p>
          <w:p w14:paraId="5840B3D2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 EO晶体材料ZnTe；</w:t>
            </w:r>
          </w:p>
          <w:p w14:paraId="453F5468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3.2 EO晶体尺寸不小于8mm×8mm，晶体厚度0.3±0.1mm；</w:t>
            </w:r>
          </w:p>
          <w:p w14:paraId="299600CF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3.3 反射镜由运动机构控制，可单向移动，确保探测激光穿过EO晶体后经其反射输出至真空腔外。</w:t>
            </w:r>
          </w:p>
          <w:p w14:paraId="7AA9D5AB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 荧光屏及靶架要求：</w:t>
            </w:r>
          </w:p>
          <w:p w14:paraId="60770478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4.1 荧光屏尺寸不小于14mm×20mm；</w:t>
            </w:r>
          </w:p>
          <w:p w14:paraId="50F35977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4.2 设计标定靶用于尺寸标定，并提供照明；</w:t>
            </w:r>
          </w:p>
          <w:p w14:paraId="22BC1D53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4.3 靶架包含4个靶位，分别为EO晶体靶位（可固定1片 EO 晶体），空靶位（用于通过束流），荧光屏靶位（用于固定荧光屏）和标定靶（用于尺寸标定）。</w:t>
            </w:r>
          </w:p>
          <w:p w14:paraId="25BDACA1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 运动机构及电机控制器要求：</w:t>
            </w:r>
          </w:p>
          <w:p w14:paraId="78946E28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5.1 运动机构可实现真空内EO晶体和荧光屏靶架移动；</w:t>
            </w:r>
          </w:p>
          <w:p w14:paraId="7152F448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5.2 荧光屏使用时，电机可驱动荧光屏靶架运动至束流管道中心，荧光屏退出时，荧光屏靶架完全脱离束流通孔。行程两端应配置限位开关；</w:t>
            </w:r>
          </w:p>
          <w:p w14:paraId="167262D3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5.3 荧光屏运动重复定位精度好于50μm；</w:t>
            </w:r>
          </w:p>
          <w:p w14:paraId="3D45E516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5.4 靶架运动过程中不得与真空腔内壁接触或刮擦；</w:t>
            </w:r>
          </w:p>
          <w:p w14:paraId="3D724BD1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5.5 提供运动电机及电机控制器，电机控制器及配套机箱部署于本地站，为系统提供独立的运动控制；</w:t>
            </w:r>
          </w:p>
          <w:p w14:paraId="64D36E0F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5.6 提供基于EPICS7通讯协议的运动控制IOC及控制终端，终端应实时显示靶位状态。</w:t>
            </w:r>
          </w:p>
          <w:p w14:paraId="1E322D30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 CCD及光路组件要求：</w:t>
            </w:r>
          </w:p>
          <w:p w14:paraId="05FC47F5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6.1 CCD应具有GigE接口；</w:t>
            </w:r>
          </w:p>
          <w:p w14:paraId="3A613A5A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6.2 CCD观测荧光屏时，每像素对应实际尺寸不大于50μm；</w:t>
            </w:r>
          </w:p>
          <w:p w14:paraId="3F0858F3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6.3 提供物距可调的光路组件，确保CCD成像视场完整覆盖荧光屏区域；</w:t>
            </w:r>
          </w:p>
          <w:p w14:paraId="3E493C57">
            <w:pPr>
              <w:tabs>
                <w:tab w:val="left" w:pos="6915"/>
              </w:tabs>
              <w:ind w:firstLine="480" w:firstLineChars="20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6.4 提供EPICS环境下的CCD图像读取上位机系统，可调整CCD增益及曝光时间，终端显示的图像刷新率大于等于10帧/秒。</w:t>
            </w:r>
          </w:p>
          <w:p w14:paraId="5C367B18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7. 配套线缆及支撑要求：应提供所有设备电源及信号线缆，线缆由隧道内设备连接到隧道外束测本地站机柜；同时需提供探头支撑，保证探头安装。</w:t>
            </w:r>
          </w:p>
        </w:tc>
        <w:tc>
          <w:tcPr>
            <w:tcW w:w="1227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合同签订后8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0D99E5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161F788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合同总金额的5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支付合同总金额的5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0D44DC7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根据合同约定进行验收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。</w:t>
            </w:r>
          </w:p>
          <w:p w14:paraId="0EDBD03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保修12个月，起始时间以该设备通过最终验收之日起开始计算。在保修期内，非采购人人为原因引起的设备故障，供应商负责免费维修和免费更换零部件。供应商应于接到采购人维修通知后24小时内（法定假日除外）进行响应，需要抵达现场进行维修的，供应商应在2个工作日内抵达现场，并在合理时间内完成维修。</w:t>
            </w:r>
          </w:p>
          <w:p w14:paraId="4C660DB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其它：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所有图纸加工件均由乙方负责现场安装，安装过程中搬运、起吊、打孔、膨胀螺栓、化学锚固胶水等相关费用均由乙方承担。</w:t>
            </w:r>
          </w:p>
        </w:tc>
        <w:tc>
          <w:tcPr>
            <w:tcW w:w="1227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44D7A"/>
    <w:rsid w:val="4914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2026-01-16T06:40:00Z</dcterms:created>
  <dc:creator>DELL</dc:creator>
  <cp:lastModifiedBy>DELL</cp:lastModifiedBy>
  <dcterms:modified xsi:type="dcterms:W3CDTF">2026-01-16T06:47:25Z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8462028EE1494C2A8537577723AD7CB3_11</vt:lpwstr>
  </property>
  <property fmtid="{D5CDD505-2E9C-101B-9397-08002B2CF9AE}" pid="4" name="KSOTemplateDocerSaveRecord">
    <vt:lpwstr>eyJoZGlkIjoiN2RmNGQ2MDc0ZGFiNmIyNjNmMmJiNzcxMzg1OWQzY2YifQ==</vt:lpwstr>
  </property>
</Properties>
</file>