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100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143"/>
        <w:gridCol w:w="5743"/>
        <w:gridCol w:w="1464"/>
        <w:gridCol w:w="1023"/>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725" w:type="dxa"/>
            <w:vAlign w:val="center"/>
          </w:tcPr>
          <w:p w14:paraId="75C250BA">
            <w:pPr>
              <w:spacing w:line="240" w:lineRule="atLeast"/>
              <w:jc w:val="center"/>
              <w:rPr>
                <w:sz w:val="22"/>
              </w:rPr>
            </w:pPr>
            <w:r>
              <w:rPr>
                <w:rFonts w:hint="eastAsia"/>
                <w:sz w:val="22"/>
              </w:rPr>
              <w:t>序号</w:t>
            </w:r>
          </w:p>
        </w:tc>
        <w:tc>
          <w:tcPr>
            <w:tcW w:w="1143" w:type="dxa"/>
            <w:vAlign w:val="center"/>
          </w:tcPr>
          <w:p w14:paraId="3A9FF52B">
            <w:pPr>
              <w:spacing w:line="240" w:lineRule="atLeast"/>
              <w:jc w:val="center"/>
              <w:rPr>
                <w:sz w:val="22"/>
              </w:rPr>
            </w:pPr>
            <w:r>
              <w:rPr>
                <w:rFonts w:hint="eastAsia"/>
                <w:sz w:val="22"/>
              </w:rPr>
              <w:t>名称</w:t>
            </w:r>
          </w:p>
        </w:tc>
        <w:tc>
          <w:tcPr>
            <w:tcW w:w="5743" w:type="dxa"/>
            <w:vAlign w:val="center"/>
          </w:tcPr>
          <w:p w14:paraId="258D475E">
            <w:pPr>
              <w:spacing w:line="240" w:lineRule="atLeast"/>
              <w:jc w:val="center"/>
              <w:rPr>
                <w:sz w:val="22"/>
              </w:rPr>
            </w:pPr>
            <w:r>
              <w:rPr>
                <w:rFonts w:hint="eastAsia"/>
                <w:sz w:val="22"/>
              </w:rPr>
              <w:t>技术指标</w:t>
            </w:r>
          </w:p>
        </w:tc>
        <w:tc>
          <w:tcPr>
            <w:tcW w:w="1464"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23"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trPr>
        <w:tc>
          <w:tcPr>
            <w:tcW w:w="725" w:type="dxa"/>
            <w:vAlign w:val="center"/>
          </w:tcPr>
          <w:p w14:paraId="185CA09D">
            <w:pPr>
              <w:spacing w:line="240" w:lineRule="atLeast"/>
              <w:jc w:val="center"/>
            </w:pPr>
            <w:r>
              <w:rPr>
                <w:rFonts w:hint="eastAsia"/>
              </w:rPr>
              <w:t>1</w:t>
            </w:r>
          </w:p>
        </w:tc>
        <w:tc>
          <w:tcPr>
            <w:tcW w:w="1143"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b w:val="0"/>
                <w:bCs w:val="0"/>
                <w:szCs w:val="24"/>
              </w:rPr>
            </w:pPr>
            <w:r>
              <w:rPr>
                <w:rFonts w:hint="eastAsia" w:ascii="Times New Roman" w:hAnsi="Times New Roman" w:eastAsia="宋体" w:cs="Times New Roman"/>
                <w:b w:val="0"/>
                <w:bCs w:val="0"/>
                <w:sz w:val="24"/>
                <w:szCs w:val="24"/>
              </w:rPr>
              <w:t>真空探测器位移台系统</w:t>
            </w:r>
          </w:p>
        </w:tc>
        <w:tc>
          <w:tcPr>
            <w:tcW w:w="5743" w:type="dxa"/>
            <w:tcBorders>
              <w:bottom w:val="single" w:color="auto" w:sz="4" w:space="0"/>
            </w:tcBorders>
            <w:shd w:val="clear" w:color="auto" w:fill="auto"/>
            <w:vAlign w:val="center"/>
          </w:tcPr>
          <w:p w14:paraId="4160E3F5">
            <w:pPr>
              <w:tabs>
                <w:tab w:val="left" w:pos="6915"/>
              </w:tabs>
              <w:ind w:firstLine="420" w:firstLineChars="200"/>
              <w:rPr>
                <w:bCs/>
                <w:szCs w:val="21"/>
              </w:rPr>
            </w:pPr>
            <w:r>
              <w:rPr>
                <w:bCs/>
                <w:szCs w:val="21"/>
              </w:rPr>
              <w:t>使用</w:t>
            </w:r>
            <w:r>
              <w:rPr>
                <w:rFonts w:hint="eastAsia"/>
                <w:bCs/>
                <w:szCs w:val="21"/>
              </w:rPr>
              <w:t>两台真空内面阵</w:t>
            </w:r>
            <w:r>
              <w:rPr>
                <w:bCs/>
                <w:szCs w:val="21"/>
              </w:rPr>
              <w:t>探测器进行</w:t>
            </w:r>
            <w:r>
              <w:rPr>
                <w:rFonts w:hint="eastAsia"/>
                <w:bCs/>
                <w:szCs w:val="21"/>
              </w:rPr>
              <w:t>不同类型散射信号的采集</w:t>
            </w:r>
            <w:r>
              <w:rPr>
                <w:bCs/>
                <w:szCs w:val="21"/>
              </w:rPr>
              <w:t>，</w:t>
            </w:r>
            <w:r>
              <w:rPr>
                <w:rFonts w:hint="eastAsia"/>
                <w:bCs/>
                <w:szCs w:val="21"/>
              </w:rPr>
              <w:t>为了调节散射信号的采集范围，需要配备相应的探测器位移台系统</w:t>
            </w:r>
            <w:r>
              <w:rPr>
                <w:bCs/>
                <w:szCs w:val="21"/>
              </w:rPr>
              <w:t>（如下图）。 本次拟采购</w:t>
            </w:r>
            <w:r>
              <w:rPr>
                <w:rFonts w:hint="eastAsia"/>
                <w:bCs/>
                <w:szCs w:val="21"/>
              </w:rPr>
              <w:t>13轴高真空</w:t>
            </w:r>
            <w:r>
              <w:rPr>
                <w:bCs/>
                <w:szCs w:val="21"/>
              </w:rPr>
              <w:t>位移台，</w:t>
            </w:r>
            <w:r>
              <w:rPr>
                <w:rFonts w:hint="eastAsia"/>
                <w:bCs/>
                <w:szCs w:val="21"/>
              </w:rPr>
              <w:t>用于实现（1）样品底座的调节、（2）探测器底座的调节、（3）两台探测器在垂直光路水平方向的调节、（4）两台探测器在垂直光路竖直方向的调节、（5）探测器遮光、（6）两个针孔的位置调节、（7）快门的位置调节等功能</w:t>
            </w:r>
            <w:r>
              <w:rPr>
                <w:bCs/>
                <w:szCs w:val="21"/>
              </w:rPr>
              <w:t>。组装示意图如下，</w:t>
            </w:r>
            <w:r>
              <w:rPr>
                <w:rFonts w:hint="eastAsia"/>
                <w:bCs/>
                <w:szCs w:val="21"/>
              </w:rPr>
              <w:t>位移台最底部为共用滑轨的样品与探测器底座独立调节台；从探测器底座往上分别为两台探测器在垂直光路水平方向的共用滑轨的独立调节台和两个竖直方向的独立调节台</w:t>
            </w:r>
            <w:r>
              <w:rPr>
                <w:bCs/>
                <w:szCs w:val="21"/>
              </w:rPr>
              <w:t>；</w:t>
            </w:r>
            <w:r>
              <w:rPr>
                <w:rFonts w:hint="eastAsia"/>
                <w:bCs/>
                <w:szCs w:val="21"/>
              </w:rPr>
              <w:t>此外，在腔内入光口配备二维快门与针孔调节台（每个二维调节台由相互垂直的两个运动轴组成）。</w:t>
            </w:r>
          </w:p>
          <w:p w14:paraId="3D161794">
            <w:pPr>
              <w:tabs>
                <w:tab w:val="left" w:pos="6915"/>
              </w:tabs>
              <w:rPr>
                <w:bCs/>
                <w:szCs w:val="21"/>
              </w:rPr>
            </w:pPr>
            <w:r>
              <w:rPr>
                <w:bCs/>
                <w:szCs w:val="21"/>
              </w:rPr>
              <w:t>腔体真空度最高为</w:t>
            </w:r>
            <w:r>
              <w:rPr>
                <w:bCs/>
                <w:color w:val="000000" w:themeColor="text1"/>
                <w:szCs w:val="21"/>
                <w14:textFill>
                  <w14:solidFill>
                    <w14:schemeClr w14:val="tx1"/>
                  </w14:solidFill>
                </w14:textFill>
              </w:rPr>
              <w:t>1×10</w:t>
            </w:r>
            <w:r>
              <w:rPr>
                <w:bCs/>
                <w:color w:val="000000" w:themeColor="text1"/>
                <w:szCs w:val="21"/>
                <w:vertAlign w:val="superscript"/>
                <w14:textFill>
                  <w14:solidFill>
                    <w14:schemeClr w14:val="tx1"/>
                  </w14:solidFill>
                </w14:textFill>
              </w:rPr>
              <w:t>-5</w:t>
            </w:r>
            <w:r>
              <w:rPr>
                <w:bCs/>
                <w:color w:val="000000" w:themeColor="text1"/>
                <w:szCs w:val="21"/>
                <w14:textFill>
                  <w14:solidFill>
                    <w14:schemeClr w14:val="tx1"/>
                  </w14:solidFill>
                </w14:textFill>
              </w:rPr>
              <w:t xml:space="preserve"> Pa</w:t>
            </w:r>
            <w:r>
              <w:rPr>
                <w:bCs/>
                <w:szCs w:val="21"/>
              </w:rPr>
              <w:t>。</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
              <w:gridCol w:w="1897"/>
              <w:gridCol w:w="1438"/>
              <w:gridCol w:w="252"/>
              <w:gridCol w:w="1501"/>
            </w:tblGrid>
            <w:tr w14:paraId="230FD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tcBorders>
                    <w:bottom w:val="nil"/>
                  </w:tcBorders>
                </w:tcPr>
                <w:p w14:paraId="325C5318">
                  <w:pPr>
                    <w:spacing w:after="160"/>
                    <w:rPr>
                      <w:b/>
                      <w:bCs/>
                      <w:szCs w:val="22"/>
                      <w14:ligatures w14:val="standardContextual"/>
                    </w:rPr>
                  </w:pPr>
                  <w:bookmarkStart w:id="0" w:name="_Hlk216094927"/>
                  <w:r>
                    <w:rPr>
                      <w:b/>
                      <w:bCs/>
                      <w:szCs w:val="22"/>
                      <w14:ligatures w14:val="standardContextual"/>
                    </w:rPr>
                    <w:t>序号</w:t>
                  </w:r>
                </w:p>
              </w:tc>
              <w:tc>
                <w:tcPr>
                  <w:tcW w:w="1720" w:type="pct"/>
                  <w:tcBorders>
                    <w:bottom w:val="nil"/>
                  </w:tcBorders>
                </w:tcPr>
                <w:p w14:paraId="1AEC9DC2">
                  <w:pPr>
                    <w:spacing w:after="160"/>
                    <w:rPr>
                      <w:b/>
                      <w:bCs/>
                      <w:szCs w:val="22"/>
                      <w14:ligatures w14:val="standardContextual"/>
                    </w:rPr>
                  </w:pPr>
                  <w:r>
                    <w:rPr>
                      <w:b/>
                      <w:bCs/>
                      <w:szCs w:val="22"/>
                      <w14:ligatures w14:val="standardContextual"/>
                    </w:rPr>
                    <w:t>位移台名称</w:t>
                  </w:r>
                </w:p>
              </w:tc>
              <w:tc>
                <w:tcPr>
                  <w:tcW w:w="2891" w:type="pct"/>
                  <w:gridSpan w:val="3"/>
                  <w:tcBorders>
                    <w:bottom w:val="nil"/>
                  </w:tcBorders>
                </w:tcPr>
                <w:p w14:paraId="026CCD62">
                  <w:pPr>
                    <w:spacing w:after="160"/>
                    <w:rPr>
                      <w:b/>
                      <w:bCs/>
                      <w:szCs w:val="22"/>
                      <w14:ligatures w14:val="standardContextual"/>
                    </w:rPr>
                  </w:pPr>
                  <w:r>
                    <w:rPr>
                      <w:b/>
                      <w:bCs/>
                      <w:szCs w:val="22"/>
                      <w14:ligatures w14:val="standardContextual"/>
                    </w:rPr>
                    <w:t>技术要求</w:t>
                  </w:r>
                </w:p>
              </w:tc>
            </w:tr>
            <w:tr w14:paraId="79538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nil"/>
                    <w:bottom w:val="nil"/>
                  </w:tcBorders>
                </w:tcPr>
                <w:p w14:paraId="32527EC0">
                  <w:pPr>
                    <w:spacing w:after="160"/>
                    <w:rPr>
                      <w:b w:val="0"/>
                      <w:bCs w:val="0"/>
                      <w:szCs w:val="22"/>
                      <w14:ligatures w14:val="standardContextual"/>
                    </w:rPr>
                  </w:pPr>
                  <w:r>
                    <w:rPr>
                      <w:b/>
                      <w:bCs/>
                      <w:szCs w:val="22"/>
                      <w14:ligatures w14:val="standardContextual"/>
                    </w:rPr>
                    <w:t>1</w:t>
                  </w:r>
                </w:p>
              </w:tc>
              <w:tc>
                <w:tcPr>
                  <w:tcW w:w="1720" w:type="pct"/>
                  <w:vMerge w:val="restart"/>
                  <w:tcBorders>
                    <w:top w:val="nil"/>
                    <w:bottom w:val="nil"/>
                  </w:tcBorders>
                  <w:vAlign w:val="center"/>
                </w:tcPr>
                <w:p w14:paraId="21D5691D">
                  <w:pPr>
                    <w:spacing w:after="160"/>
                    <w:rPr>
                      <w:szCs w:val="22"/>
                      <w14:ligatures w14:val="standardContextual"/>
                    </w:rPr>
                  </w:pPr>
                  <w:r>
                    <w:rPr>
                      <w:szCs w:val="22"/>
                      <w14:ligatures w14:val="standardContextual"/>
                    </w:rPr>
                    <w:t>共滑轨水平长滑台 - 探测器位移台</w:t>
                  </w:r>
                </w:p>
                <w:p w14:paraId="132E3D74">
                  <w:pPr>
                    <w:spacing w:after="160"/>
                    <w:rPr>
                      <w:szCs w:val="22"/>
                      <w14:ligatures w14:val="standardContextual"/>
                    </w:rPr>
                  </w:pPr>
                </w:p>
              </w:tc>
              <w:tc>
                <w:tcPr>
                  <w:tcW w:w="1304" w:type="pct"/>
                  <w:tcBorders>
                    <w:top w:val="nil"/>
                    <w:bottom w:val="nil"/>
                  </w:tcBorders>
                </w:tcPr>
                <w:p w14:paraId="6FF83C4A">
                  <w:pPr>
                    <w:spacing w:after="160"/>
                    <w:rPr>
                      <w:szCs w:val="22"/>
                      <w14:ligatures w14:val="standardContextual"/>
                    </w:rPr>
                  </w:pPr>
                  <w:r>
                    <w:rPr>
                      <w:szCs w:val="22"/>
                      <w14:ligatures w14:val="standardContextual"/>
                    </w:rPr>
                    <w:t>行程</w:t>
                  </w:r>
                </w:p>
              </w:tc>
              <w:tc>
                <w:tcPr>
                  <w:tcW w:w="1586" w:type="pct"/>
                  <w:gridSpan w:val="2"/>
                  <w:tcBorders>
                    <w:top w:val="nil"/>
                    <w:bottom w:val="nil"/>
                  </w:tcBorders>
                </w:tcPr>
                <w:p w14:paraId="212DE915">
                  <w:pPr>
                    <w:spacing w:after="160"/>
                    <w:rPr>
                      <w:szCs w:val="22"/>
                      <w14:ligatures w14:val="standardContextual"/>
                    </w:rPr>
                  </w:pPr>
                  <w:r>
                    <w:rPr>
                      <w:b/>
                      <w:bCs/>
                      <w:szCs w:val="22"/>
                      <w14:ligatures w14:val="standardContextual"/>
                    </w:rPr>
                    <w:t>≥</w:t>
                  </w:r>
                  <w:r>
                    <w:rPr>
                      <w:szCs w:val="22"/>
                      <w14:ligatures w14:val="standardContextual"/>
                    </w:rPr>
                    <w:t>400 mm</w:t>
                  </w:r>
                </w:p>
              </w:tc>
            </w:tr>
            <w:tr w14:paraId="79BEC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14F10E46">
                  <w:pPr>
                    <w:spacing w:after="160"/>
                    <w:rPr>
                      <w:b/>
                      <w:bCs/>
                      <w:szCs w:val="22"/>
                      <w14:ligatures w14:val="standardContextual"/>
                    </w:rPr>
                  </w:pPr>
                </w:p>
              </w:tc>
              <w:tc>
                <w:tcPr>
                  <w:tcW w:w="1720" w:type="pct"/>
                  <w:vMerge w:val="continue"/>
                  <w:vAlign w:val="center"/>
                </w:tcPr>
                <w:p w14:paraId="7EBD554A">
                  <w:pPr>
                    <w:spacing w:after="160"/>
                    <w:rPr>
                      <w:szCs w:val="22"/>
                      <w14:ligatures w14:val="standardContextual"/>
                    </w:rPr>
                  </w:pPr>
                </w:p>
              </w:tc>
              <w:tc>
                <w:tcPr>
                  <w:tcW w:w="1304" w:type="pct"/>
                </w:tcPr>
                <w:p w14:paraId="407DEB1F">
                  <w:pPr>
                    <w:spacing w:after="160"/>
                    <w:rPr>
                      <w:szCs w:val="22"/>
                      <w14:ligatures w14:val="standardContextual"/>
                    </w:rPr>
                  </w:pPr>
                  <w:r>
                    <w:rPr>
                      <w:szCs w:val="22"/>
                      <w14:ligatures w14:val="standardContextual"/>
                    </w:rPr>
                    <w:t>定位精度</w:t>
                  </w:r>
                </w:p>
              </w:tc>
              <w:tc>
                <w:tcPr>
                  <w:tcW w:w="1586" w:type="pct"/>
                  <w:gridSpan w:val="2"/>
                </w:tcPr>
                <w:p w14:paraId="39B1EC30">
                  <w:pPr>
                    <w:spacing w:after="160"/>
                    <w:rPr>
                      <w:szCs w:val="22"/>
                      <w14:ligatures w14:val="standardContextual"/>
                    </w:rPr>
                  </w:pPr>
                  <w:r>
                    <w:rPr>
                      <w:szCs w:val="22"/>
                      <w14:ligatures w14:val="standardContextual"/>
                    </w:rPr>
                    <w:t>≤20 μm @行程100 mm</w:t>
                  </w:r>
                </w:p>
              </w:tc>
            </w:tr>
            <w:tr w14:paraId="54B2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nil"/>
                    <w:bottom w:val="nil"/>
                  </w:tcBorders>
                </w:tcPr>
                <w:p w14:paraId="2690E4BC">
                  <w:pPr>
                    <w:spacing w:after="160"/>
                    <w:rPr>
                      <w:b/>
                      <w:bCs/>
                      <w:szCs w:val="22"/>
                      <w14:ligatures w14:val="standardContextual"/>
                    </w:rPr>
                  </w:pPr>
                </w:p>
              </w:tc>
              <w:tc>
                <w:tcPr>
                  <w:tcW w:w="1720" w:type="pct"/>
                  <w:vMerge w:val="continue"/>
                  <w:tcBorders>
                    <w:top w:val="nil"/>
                    <w:bottom w:val="nil"/>
                  </w:tcBorders>
                  <w:vAlign w:val="center"/>
                </w:tcPr>
                <w:p w14:paraId="1FA3C84E">
                  <w:pPr>
                    <w:spacing w:after="160"/>
                    <w:rPr>
                      <w:szCs w:val="22"/>
                      <w14:ligatures w14:val="standardContextual"/>
                    </w:rPr>
                  </w:pPr>
                </w:p>
              </w:tc>
              <w:tc>
                <w:tcPr>
                  <w:tcW w:w="1304" w:type="pct"/>
                  <w:tcBorders>
                    <w:top w:val="nil"/>
                    <w:bottom w:val="nil"/>
                  </w:tcBorders>
                </w:tcPr>
                <w:p w14:paraId="6948212A">
                  <w:pPr>
                    <w:spacing w:after="160"/>
                    <w:rPr>
                      <w:szCs w:val="22"/>
                      <w14:ligatures w14:val="standardContextual"/>
                    </w:rPr>
                  </w:pPr>
                  <w:r>
                    <w:rPr>
                      <w:szCs w:val="22"/>
                      <w14:ligatures w14:val="standardContextual"/>
                    </w:rPr>
                    <w:t>重复定位精度</w:t>
                  </w:r>
                </w:p>
              </w:tc>
              <w:tc>
                <w:tcPr>
                  <w:tcW w:w="1586" w:type="pct"/>
                  <w:gridSpan w:val="2"/>
                  <w:tcBorders>
                    <w:top w:val="nil"/>
                    <w:bottom w:val="nil"/>
                  </w:tcBorders>
                </w:tcPr>
                <w:p w14:paraId="0F2D3761">
                  <w:pPr>
                    <w:spacing w:after="160"/>
                    <w:rPr>
                      <w:szCs w:val="22"/>
                      <w14:ligatures w14:val="standardContextual"/>
                    </w:rPr>
                  </w:pPr>
                  <w:r>
                    <w:rPr>
                      <w:szCs w:val="22"/>
                      <w14:ligatures w14:val="standardContextual"/>
                    </w:rPr>
                    <w:t>≤10 μm @行程100 mm</w:t>
                  </w:r>
                </w:p>
              </w:tc>
            </w:tr>
            <w:tr w14:paraId="590D8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Pr>
                <w:p w14:paraId="56354073">
                  <w:pPr>
                    <w:spacing w:after="160"/>
                    <w:rPr>
                      <w:b/>
                      <w:bCs/>
                      <w:szCs w:val="22"/>
                      <w14:ligatures w14:val="standardContextual"/>
                    </w:rPr>
                  </w:pPr>
                  <w:r>
                    <w:rPr>
                      <w:b/>
                      <w:bCs/>
                      <w:szCs w:val="22"/>
                      <w14:ligatures w14:val="standardContextual"/>
                    </w:rPr>
                    <w:t>2</w:t>
                  </w:r>
                </w:p>
              </w:tc>
              <w:tc>
                <w:tcPr>
                  <w:tcW w:w="1720" w:type="pct"/>
                  <w:vMerge w:val="restart"/>
                  <w:vAlign w:val="center"/>
                </w:tcPr>
                <w:p w14:paraId="53F667AC">
                  <w:pPr>
                    <w:spacing w:after="160"/>
                    <w:rPr>
                      <w:szCs w:val="22"/>
                      <w14:ligatures w14:val="standardContextual"/>
                    </w:rPr>
                  </w:pPr>
                  <w:r>
                    <w:rPr>
                      <w:szCs w:val="22"/>
                      <w14:ligatures w14:val="standardContextual"/>
                    </w:rPr>
                    <w:t>共滑轨水平长滑台 - 样品底座位移台</w:t>
                  </w:r>
                </w:p>
                <w:p w14:paraId="2EF420E7">
                  <w:pPr>
                    <w:spacing w:after="160"/>
                    <w:rPr>
                      <w:szCs w:val="22"/>
                      <w14:ligatures w14:val="standardContextual"/>
                    </w:rPr>
                  </w:pPr>
                </w:p>
              </w:tc>
              <w:tc>
                <w:tcPr>
                  <w:tcW w:w="1304" w:type="pct"/>
                </w:tcPr>
                <w:p w14:paraId="669F1B94">
                  <w:pPr>
                    <w:spacing w:after="160"/>
                    <w:rPr>
                      <w:szCs w:val="22"/>
                      <w14:ligatures w14:val="standardContextual"/>
                    </w:rPr>
                  </w:pPr>
                  <w:r>
                    <w:rPr>
                      <w:szCs w:val="22"/>
                      <w14:ligatures w14:val="standardContextual"/>
                    </w:rPr>
                    <w:t>行程</w:t>
                  </w:r>
                </w:p>
              </w:tc>
              <w:tc>
                <w:tcPr>
                  <w:tcW w:w="1586" w:type="pct"/>
                  <w:gridSpan w:val="2"/>
                </w:tcPr>
                <w:p w14:paraId="00F1D88F">
                  <w:pPr>
                    <w:spacing w:after="160"/>
                    <w:rPr>
                      <w:szCs w:val="22"/>
                      <w14:ligatures w14:val="standardContextual"/>
                    </w:rPr>
                  </w:pPr>
                  <w:r>
                    <w:rPr>
                      <w:szCs w:val="22"/>
                      <w14:ligatures w14:val="standardContextual"/>
                    </w:rPr>
                    <w:t>≥400 mm</w:t>
                  </w:r>
                </w:p>
              </w:tc>
            </w:tr>
            <w:tr w14:paraId="2B53C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nil"/>
                    <w:bottom w:val="nil"/>
                  </w:tcBorders>
                </w:tcPr>
                <w:p w14:paraId="76F23CBA">
                  <w:pPr>
                    <w:spacing w:after="160"/>
                    <w:rPr>
                      <w:b/>
                      <w:bCs/>
                      <w:szCs w:val="22"/>
                      <w14:ligatures w14:val="standardContextual"/>
                    </w:rPr>
                  </w:pPr>
                </w:p>
              </w:tc>
              <w:tc>
                <w:tcPr>
                  <w:tcW w:w="1720" w:type="pct"/>
                  <w:vMerge w:val="continue"/>
                  <w:tcBorders>
                    <w:top w:val="nil"/>
                    <w:bottom w:val="nil"/>
                  </w:tcBorders>
                  <w:vAlign w:val="center"/>
                </w:tcPr>
                <w:p w14:paraId="4610B55D">
                  <w:pPr>
                    <w:spacing w:after="160"/>
                    <w:rPr>
                      <w:szCs w:val="22"/>
                      <w14:ligatures w14:val="standardContextual"/>
                    </w:rPr>
                  </w:pPr>
                </w:p>
              </w:tc>
              <w:tc>
                <w:tcPr>
                  <w:tcW w:w="1304" w:type="pct"/>
                  <w:tcBorders>
                    <w:top w:val="nil"/>
                    <w:bottom w:val="nil"/>
                  </w:tcBorders>
                </w:tcPr>
                <w:p w14:paraId="0A0A8C20">
                  <w:pPr>
                    <w:spacing w:after="160"/>
                    <w:rPr>
                      <w:szCs w:val="22"/>
                      <w14:ligatures w14:val="standardContextual"/>
                    </w:rPr>
                  </w:pPr>
                  <w:r>
                    <w:rPr>
                      <w:szCs w:val="22"/>
                      <w14:ligatures w14:val="standardContextual"/>
                    </w:rPr>
                    <w:t>定位精度</w:t>
                  </w:r>
                </w:p>
              </w:tc>
              <w:tc>
                <w:tcPr>
                  <w:tcW w:w="1586" w:type="pct"/>
                  <w:gridSpan w:val="2"/>
                  <w:tcBorders>
                    <w:top w:val="nil"/>
                    <w:bottom w:val="nil"/>
                  </w:tcBorders>
                </w:tcPr>
                <w:p w14:paraId="51AE6B36">
                  <w:pPr>
                    <w:spacing w:after="160"/>
                    <w:rPr>
                      <w:szCs w:val="22"/>
                      <w14:ligatures w14:val="standardContextual"/>
                    </w:rPr>
                  </w:pPr>
                  <w:r>
                    <w:rPr>
                      <w:szCs w:val="22"/>
                      <w14:ligatures w14:val="standardContextual"/>
                    </w:rPr>
                    <w:t>≤20 μm@行程100 mm</w:t>
                  </w:r>
                </w:p>
              </w:tc>
            </w:tr>
            <w:tr w14:paraId="3ACE6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488534C8">
                  <w:pPr>
                    <w:spacing w:after="160"/>
                    <w:rPr>
                      <w:b/>
                      <w:bCs/>
                      <w:szCs w:val="22"/>
                      <w14:ligatures w14:val="standardContextual"/>
                    </w:rPr>
                  </w:pPr>
                </w:p>
              </w:tc>
              <w:tc>
                <w:tcPr>
                  <w:tcW w:w="1720" w:type="pct"/>
                  <w:vMerge w:val="continue"/>
                  <w:vAlign w:val="center"/>
                </w:tcPr>
                <w:p w14:paraId="3946AEB4">
                  <w:pPr>
                    <w:spacing w:after="160"/>
                    <w:rPr>
                      <w:szCs w:val="22"/>
                      <w14:ligatures w14:val="standardContextual"/>
                    </w:rPr>
                  </w:pPr>
                </w:p>
              </w:tc>
              <w:tc>
                <w:tcPr>
                  <w:tcW w:w="1304" w:type="pct"/>
                </w:tcPr>
                <w:p w14:paraId="67A90542">
                  <w:pPr>
                    <w:spacing w:after="160"/>
                    <w:rPr>
                      <w:szCs w:val="22"/>
                      <w14:ligatures w14:val="standardContextual"/>
                    </w:rPr>
                  </w:pPr>
                  <w:r>
                    <w:rPr>
                      <w:szCs w:val="22"/>
                      <w14:ligatures w14:val="standardContextual"/>
                    </w:rPr>
                    <w:t>重复定位精度</w:t>
                  </w:r>
                </w:p>
              </w:tc>
              <w:tc>
                <w:tcPr>
                  <w:tcW w:w="1586" w:type="pct"/>
                  <w:gridSpan w:val="2"/>
                </w:tcPr>
                <w:p w14:paraId="5A3B94F5">
                  <w:pPr>
                    <w:spacing w:after="160"/>
                    <w:rPr>
                      <w:szCs w:val="22"/>
                      <w14:ligatures w14:val="standardContextual"/>
                    </w:rPr>
                  </w:pPr>
                  <w:r>
                    <w:rPr>
                      <w:szCs w:val="22"/>
                      <w14:ligatures w14:val="standardContextual"/>
                    </w:rPr>
                    <w:t>≤10 μm@行程100 mm</w:t>
                  </w:r>
                </w:p>
              </w:tc>
            </w:tr>
            <w:tr w14:paraId="0E6AC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nil"/>
                    <w:bottom w:val="nil"/>
                  </w:tcBorders>
                </w:tcPr>
                <w:p w14:paraId="1C84E702">
                  <w:pPr>
                    <w:spacing w:after="160"/>
                    <w:rPr>
                      <w:b/>
                      <w:bCs/>
                      <w:szCs w:val="22"/>
                      <w14:ligatures w14:val="standardContextual"/>
                    </w:rPr>
                  </w:pPr>
                  <w:r>
                    <w:rPr>
                      <w:b/>
                      <w:bCs/>
                      <w:szCs w:val="22"/>
                      <w14:ligatures w14:val="standardContextual"/>
                    </w:rPr>
                    <w:t>3</w:t>
                  </w:r>
                </w:p>
              </w:tc>
              <w:tc>
                <w:tcPr>
                  <w:tcW w:w="1720" w:type="pct"/>
                  <w:vMerge w:val="restart"/>
                  <w:tcBorders>
                    <w:top w:val="nil"/>
                    <w:bottom w:val="nil"/>
                  </w:tcBorders>
                  <w:vAlign w:val="center"/>
                </w:tcPr>
                <w:p w14:paraId="319EFE4F">
                  <w:pPr>
                    <w:spacing w:after="160"/>
                    <w:rPr>
                      <w:szCs w:val="22"/>
                      <w14:ligatures w14:val="standardContextual"/>
                    </w:rPr>
                  </w:pPr>
                  <w:r>
                    <w:rPr>
                      <w:szCs w:val="22"/>
                      <w14:ligatures w14:val="standardContextual"/>
                    </w:rPr>
                    <w:t>共滑轨探测垂直滑台 - 探测器 1 位移台</w:t>
                  </w:r>
                </w:p>
                <w:p w14:paraId="3B8EFA96">
                  <w:pPr>
                    <w:spacing w:after="160"/>
                    <w:rPr>
                      <w:szCs w:val="22"/>
                      <w14:ligatures w14:val="standardContextual"/>
                    </w:rPr>
                  </w:pPr>
                </w:p>
              </w:tc>
              <w:tc>
                <w:tcPr>
                  <w:tcW w:w="1304" w:type="pct"/>
                  <w:tcBorders>
                    <w:top w:val="nil"/>
                    <w:bottom w:val="nil"/>
                  </w:tcBorders>
                </w:tcPr>
                <w:p w14:paraId="773016D1">
                  <w:pPr>
                    <w:spacing w:after="160"/>
                    <w:rPr>
                      <w:szCs w:val="22"/>
                      <w14:ligatures w14:val="standardContextual"/>
                    </w:rPr>
                  </w:pPr>
                  <w:r>
                    <w:rPr>
                      <w:szCs w:val="22"/>
                      <w14:ligatures w14:val="standardContextual"/>
                    </w:rPr>
                    <w:t>行程</w:t>
                  </w:r>
                </w:p>
              </w:tc>
              <w:tc>
                <w:tcPr>
                  <w:tcW w:w="1586" w:type="pct"/>
                  <w:gridSpan w:val="2"/>
                  <w:tcBorders>
                    <w:top w:val="nil"/>
                    <w:bottom w:val="nil"/>
                  </w:tcBorders>
                </w:tcPr>
                <w:p w14:paraId="0AE85753">
                  <w:pPr>
                    <w:spacing w:after="160"/>
                    <w:rPr>
                      <w:szCs w:val="22"/>
                      <w14:ligatures w14:val="standardContextual"/>
                    </w:rPr>
                  </w:pPr>
                  <w:r>
                    <w:rPr>
                      <w:szCs w:val="22"/>
                      <w14:ligatures w14:val="standardContextual"/>
                    </w:rPr>
                    <w:t>≥150 mm</w:t>
                  </w:r>
                </w:p>
              </w:tc>
            </w:tr>
            <w:tr w14:paraId="5AF0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316D6929">
                  <w:pPr>
                    <w:spacing w:after="160"/>
                    <w:rPr>
                      <w:b/>
                      <w:bCs/>
                      <w:szCs w:val="22"/>
                      <w14:ligatures w14:val="standardContextual"/>
                    </w:rPr>
                  </w:pPr>
                </w:p>
              </w:tc>
              <w:tc>
                <w:tcPr>
                  <w:tcW w:w="1720" w:type="pct"/>
                  <w:vMerge w:val="continue"/>
                  <w:vAlign w:val="center"/>
                </w:tcPr>
                <w:p w14:paraId="4D68119A">
                  <w:pPr>
                    <w:spacing w:after="160"/>
                    <w:rPr>
                      <w:szCs w:val="22"/>
                      <w14:ligatures w14:val="standardContextual"/>
                    </w:rPr>
                  </w:pPr>
                </w:p>
              </w:tc>
              <w:tc>
                <w:tcPr>
                  <w:tcW w:w="1304" w:type="pct"/>
                </w:tcPr>
                <w:p w14:paraId="2C781444">
                  <w:pPr>
                    <w:spacing w:after="160"/>
                    <w:rPr>
                      <w:szCs w:val="22"/>
                      <w14:ligatures w14:val="standardContextual"/>
                    </w:rPr>
                  </w:pPr>
                  <w:r>
                    <w:rPr>
                      <w:szCs w:val="22"/>
                      <w14:ligatures w14:val="standardContextual"/>
                    </w:rPr>
                    <w:t>定位精度</w:t>
                  </w:r>
                </w:p>
              </w:tc>
              <w:tc>
                <w:tcPr>
                  <w:tcW w:w="1586" w:type="pct"/>
                  <w:gridSpan w:val="2"/>
                </w:tcPr>
                <w:p w14:paraId="15AE4DF2">
                  <w:pPr>
                    <w:spacing w:after="160"/>
                    <w:rPr>
                      <w:szCs w:val="22"/>
                      <w14:ligatures w14:val="standardContextual"/>
                    </w:rPr>
                  </w:pPr>
                  <w:r>
                    <w:rPr>
                      <w:szCs w:val="22"/>
                      <w14:ligatures w14:val="standardContextual"/>
                    </w:rPr>
                    <w:t>≤20 μm</w:t>
                  </w:r>
                </w:p>
              </w:tc>
            </w:tr>
            <w:tr w14:paraId="233AA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nil"/>
                    <w:bottom w:val="nil"/>
                  </w:tcBorders>
                </w:tcPr>
                <w:p w14:paraId="6A2E87E2">
                  <w:pPr>
                    <w:spacing w:after="160"/>
                    <w:rPr>
                      <w:b/>
                      <w:bCs/>
                      <w:szCs w:val="22"/>
                      <w14:ligatures w14:val="standardContextual"/>
                    </w:rPr>
                  </w:pPr>
                </w:p>
              </w:tc>
              <w:tc>
                <w:tcPr>
                  <w:tcW w:w="1720" w:type="pct"/>
                  <w:vMerge w:val="continue"/>
                  <w:tcBorders>
                    <w:top w:val="nil"/>
                    <w:bottom w:val="nil"/>
                  </w:tcBorders>
                  <w:vAlign w:val="center"/>
                </w:tcPr>
                <w:p w14:paraId="161FDAB2">
                  <w:pPr>
                    <w:spacing w:after="160"/>
                    <w:rPr>
                      <w:szCs w:val="22"/>
                      <w14:ligatures w14:val="standardContextual"/>
                    </w:rPr>
                  </w:pPr>
                </w:p>
              </w:tc>
              <w:tc>
                <w:tcPr>
                  <w:tcW w:w="1304" w:type="pct"/>
                  <w:tcBorders>
                    <w:top w:val="nil"/>
                    <w:bottom w:val="nil"/>
                  </w:tcBorders>
                </w:tcPr>
                <w:p w14:paraId="5F15A03A">
                  <w:pPr>
                    <w:spacing w:after="160"/>
                    <w:rPr>
                      <w:szCs w:val="22"/>
                      <w14:ligatures w14:val="standardContextual"/>
                    </w:rPr>
                  </w:pPr>
                  <w:r>
                    <w:rPr>
                      <w:szCs w:val="22"/>
                      <w14:ligatures w14:val="standardContextual"/>
                    </w:rPr>
                    <w:t>重复定位精度</w:t>
                  </w:r>
                </w:p>
              </w:tc>
              <w:tc>
                <w:tcPr>
                  <w:tcW w:w="1586" w:type="pct"/>
                  <w:gridSpan w:val="2"/>
                  <w:tcBorders>
                    <w:top w:val="nil"/>
                    <w:bottom w:val="nil"/>
                  </w:tcBorders>
                </w:tcPr>
                <w:p w14:paraId="5BB0A86F">
                  <w:pPr>
                    <w:spacing w:after="160"/>
                    <w:rPr>
                      <w:szCs w:val="22"/>
                      <w14:ligatures w14:val="standardContextual"/>
                    </w:rPr>
                  </w:pPr>
                  <w:r>
                    <w:rPr>
                      <w:szCs w:val="22"/>
                      <w14:ligatures w14:val="standardContextual"/>
                    </w:rPr>
                    <w:t>≤10 μm</w:t>
                  </w:r>
                </w:p>
              </w:tc>
            </w:tr>
            <w:tr w14:paraId="7CA6C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388" w:type="pct"/>
                  <w:vMerge w:val="restart"/>
                </w:tcPr>
                <w:p w14:paraId="1B7C1C6D">
                  <w:pPr>
                    <w:spacing w:after="160"/>
                    <w:rPr>
                      <w:b/>
                      <w:bCs/>
                      <w:szCs w:val="22"/>
                      <w14:ligatures w14:val="standardContextual"/>
                    </w:rPr>
                  </w:pPr>
                  <w:r>
                    <w:rPr>
                      <w:b/>
                      <w:bCs/>
                      <w:szCs w:val="22"/>
                      <w14:ligatures w14:val="standardContextual"/>
                    </w:rPr>
                    <w:t>4</w:t>
                  </w:r>
                </w:p>
              </w:tc>
              <w:tc>
                <w:tcPr>
                  <w:tcW w:w="1720" w:type="pct"/>
                  <w:vMerge w:val="restart"/>
                  <w:vAlign w:val="center"/>
                </w:tcPr>
                <w:p w14:paraId="035B4377">
                  <w:pPr>
                    <w:spacing w:after="160"/>
                    <w:rPr>
                      <w:szCs w:val="22"/>
                      <w14:ligatures w14:val="standardContextual"/>
                    </w:rPr>
                  </w:pPr>
                  <w:r>
                    <w:rPr>
                      <w:szCs w:val="22"/>
                      <w14:ligatures w14:val="standardContextual"/>
                    </w:rPr>
                    <w:t>共滑轨探测垂直滑台 - 探测器 2 位移台</w:t>
                  </w:r>
                </w:p>
                <w:p w14:paraId="5F37D2BE">
                  <w:pPr>
                    <w:spacing w:after="160"/>
                    <w:rPr>
                      <w:szCs w:val="22"/>
                      <w14:ligatures w14:val="standardContextual"/>
                    </w:rPr>
                  </w:pPr>
                </w:p>
              </w:tc>
              <w:tc>
                <w:tcPr>
                  <w:tcW w:w="1304" w:type="pct"/>
                </w:tcPr>
                <w:p w14:paraId="7B9CAACC">
                  <w:pPr>
                    <w:spacing w:after="160"/>
                    <w:rPr>
                      <w:szCs w:val="22"/>
                      <w14:ligatures w14:val="standardContextual"/>
                    </w:rPr>
                  </w:pPr>
                  <w:r>
                    <w:rPr>
                      <w:szCs w:val="22"/>
                      <w14:ligatures w14:val="standardContextual"/>
                    </w:rPr>
                    <w:t>行程</w:t>
                  </w:r>
                </w:p>
              </w:tc>
              <w:tc>
                <w:tcPr>
                  <w:tcW w:w="1586" w:type="pct"/>
                  <w:gridSpan w:val="2"/>
                </w:tcPr>
                <w:p w14:paraId="445143E7">
                  <w:pPr>
                    <w:spacing w:after="160"/>
                    <w:rPr>
                      <w:szCs w:val="22"/>
                      <w14:ligatures w14:val="standardContextual"/>
                    </w:rPr>
                  </w:pPr>
                  <w:r>
                    <w:rPr>
                      <w:szCs w:val="22"/>
                      <w14:ligatures w14:val="standardContextual"/>
                    </w:rPr>
                    <w:t>≥150 mm</w:t>
                  </w:r>
                </w:p>
              </w:tc>
            </w:tr>
            <w:tr w14:paraId="35AD8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nil"/>
                    <w:bottom w:val="nil"/>
                  </w:tcBorders>
                </w:tcPr>
                <w:p w14:paraId="266239A2">
                  <w:pPr>
                    <w:spacing w:after="160"/>
                    <w:rPr>
                      <w:b/>
                      <w:bCs/>
                      <w:szCs w:val="22"/>
                      <w14:ligatures w14:val="standardContextual"/>
                    </w:rPr>
                  </w:pPr>
                </w:p>
              </w:tc>
              <w:tc>
                <w:tcPr>
                  <w:tcW w:w="1720" w:type="pct"/>
                  <w:vMerge w:val="continue"/>
                  <w:tcBorders>
                    <w:top w:val="nil"/>
                    <w:bottom w:val="nil"/>
                  </w:tcBorders>
                  <w:vAlign w:val="center"/>
                </w:tcPr>
                <w:p w14:paraId="2149C4E9">
                  <w:pPr>
                    <w:spacing w:after="160"/>
                    <w:rPr>
                      <w:szCs w:val="22"/>
                      <w14:ligatures w14:val="standardContextual"/>
                    </w:rPr>
                  </w:pPr>
                </w:p>
              </w:tc>
              <w:tc>
                <w:tcPr>
                  <w:tcW w:w="1304" w:type="pct"/>
                  <w:tcBorders>
                    <w:top w:val="nil"/>
                    <w:bottom w:val="nil"/>
                  </w:tcBorders>
                </w:tcPr>
                <w:p w14:paraId="2613D5F2">
                  <w:pPr>
                    <w:spacing w:after="160"/>
                    <w:rPr>
                      <w:szCs w:val="22"/>
                      <w14:ligatures w14:val="standardContextual"/>
                    </w:rPr>
                  </w:pPr>
                  <w:r>
                    <w:rPr>
                      <w:szCs w:val="22"/>
                      <w14:ligatures w14:val="standardContextual"/>
                    </w:rPr>
                    <w:t>定位精度</w:t>
                  </w:r>
                </w:p>
              </w:tc>
              <w:tc>
                <w:tcPr>
                  <w:tcW w:w="1586" w:type="pct"/>
                  <w:gridSpan w:val="2"/>
                  <w:tcBorders>
                    <w:top w:val="nil"/>
                    <w:bottom w:val="nil"/>
                  </w:tcBorders>
                </w:tcPr>
                <w:p w14:paraId="62035A56">
                  <w:pPr>
                    <w:spacing w:after="160"/>
                    <w:rPr>
                      <w:szCs w:val="22"/>
                      <w14:ligatures w14:val="standardContextual"/>
                    </w:rPr>
                  </w:pPr>
                  <w:r>
                    <w:rPr>
                      <w:szCs w:val="22"/>
                      <w14:ligatures w14:val="standardContextual"/>
                    </w:rPr>
                    <w:t>≤20 μm</w:t>
                  </w:r>
                </w:p>
              </w:tc>
            </w:tr>
            <w:tr w14:paraId="12076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5C79888C">
                  <w:pPr>
                    <w:spacing w:after="160"/>
                    <w:rPr>
                      <w:b/>
                      <w:bCs/>
                      <w:szCs w:val="22"/>
                      <w14:ligatures w14:val="standardContextual"/>
                    </w:rPr>
                  </w:pPr>
                </w:p>
              </w:tc>
              <w:tc>
                <w:tcPr>
                  <w:tcW w:w="1720" w:type="pct"/>
                  <w:vMerge w:val="continue"/>
                  <w:vAlign w:val="center"/>
                </w:tcPr>
                <w:p w14:paraId="3D783AD3">
                  <w:pPr>
                    <w:spacing w:after="160"/>
                    <w:rPr>
                      <w:szCs w:val="22"/>
                      <w14:ligatures w14:val="standardContextual"/>
                    </w:rPr>
                  </w:pPr>
                </w:p>
              </w:tc>
              <w:tc>
                <w:tcPr>
                  <w:tcW w:w="1304" w:type="pct"/>
                </w:tcPr>
                <w:p w14:paraId="487593EF">
                  <w:pPr>
                    <w:spacing w:after="160"/>
                    <w:rPr>
                      <w:szCs w:val="22"/>
                      <w14:ligatures w14:val="standardContextual"/>
                    </w:rPr>
                  </w:pPr>
                  <w:r>
                    <w:rPr>
                      <w:szCs w:val="22"/>
                      <w14:ligatures w14:val="standardContextual"/>
                    </w:rPr>
                    <w:t>重复定位精度</w:t>
                  </w:r>
                </w:p>
              </w:tc>
              <w:tc>
                <w:tcPr>
                  <w:tcW w:w="1586" w:type="pct"/>
                  <w:gridSpan w:val="2"/>
                </w:tcPr>
                <w:p w14:paraId="61B90526">
                  <w:pPr>
                    <w:spacing w:after="160"/>
                    <w:rPr>
                      <w:szCs w:val="22"/>
                      <w14:ligatures w14:val="standardContextual"/>
                    </w:rPr>
                  </w:pPr>
                  <w:r>
                    <w:rPr>
                      <w:szCs w:val="22"/>
                      <w14:ligatures w14:val="standardContextual"/>
                    </w:rPr>
                    <w:t>≤10 μm</w:t>
                  </w:r>
                </w:p>
              </w:tc>
            </w:tr>
            <w:tr w14:paraId="12584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nil"/>
                    <w:bottom w:val="nil"/>
                  </w:tcBorders>
                </w:tcPr>
                <w:p w14:paraId="4214D99C">
                  <w:pPr>
                    <w:spacing w:after="160"/>
                    <w:rPr>
                      <w:b/>
                      <w:bCs/>
                      <w:szCs w:val="22"/>
                      <w14:ligatures w14:val="standardContextual"/>
                    </w:rPr>
                  </w:pPr>
                  <w:r>
                    <w:rPr>
                      <w:b/>
                      <w:bCs/>
                      <w:szCs w:val="22"/>
                      <w14:ligatures w14:val="standardContextual"/>
                    </w:rPr>
                    <w:t>5</w:t>
                  </w:r>
                </w:p>
              </w:tc>
              <w:tc>
                <w:tcPr>
                  <w:tcW w:w="1720" w:type="pct"/>
                  <w:vMerge w:val="restart"/>
                  <w:tcBorders>
                    <w:top w:val="nil"/>
                    <w:bottom w:val="nil"/>
                  </w:tcBorders>
                  <w:vAlign w:val="center"/>
                </w:tcPr>
                <w:p w14:paraId="34ED120F">
                  <w:pPr>
                    <w:spacing w:after="160"/>
                    <w:rPr>
                      <w:szCs w:val="22"/>
                      <w14:ligatures w14:val="standardContextual"/>
                    </w:rPr>
                  </w:pPr>
                  <w:r>
                    <w:rPr>
                      <w:szCs w:val="22"/>
                      <w14:ligatures w14:val="standardContextual"/>
                    </w:rPr>
                    <w:t>探测器 1 高度调节台</w:t>
                  </w:r>
                </w:p>
                <w:p w14:paraId="05DAA1DE">
                  <w:pPr>
                    <w:spacing w:after="160"/>
                    <w:rPr>
                      <w:szCs w:val="22"/>
                      <w14:ligatures w14:val="standardContextual"/>
                    </w:rPr>
                  </w:pPr>
                </w:p>
              </w:tc>
              <w:tc>
                <w:tcPr>
                  <w:tcW w:w="1304" w:type="pct"/>
                  <w:tcBorders>
                    <w:top w:val="nil"/>
                    <w:bottom w:val="nil"/>
                  </w:tcBorders>
                </w:tcPr>
                <w:p w14:paraId="2F808203">
                  <w:pPr>
                    <w:spacing w:after="160"/>
                    <w:rPr>
                      <w:szCs w:val="22"/>
                      <w14:ligatures w14:val="standardContextual"/>
                    </w:rPr>
                  </w:pPr>
                  <w:r>
                    <w:rPr>
                      <w:szCs w:val="22"/>
                      <w14:ligatures w14:val="standardContextual"/>
                    </w:rPr>
                    <w:t>行程</w:t>
                  </w:r>
                </w:p>
              </w:tc>
              <w:tc>
                <w:tcPr>
                  <w:tcW w:w="1586" w:type="pct"/>
                  <w:gridSpan w:val="2"/>
                  <w:tcBorders>
                    <w:top w:val="nil"/>
                    <w:bottom w:val="nil"/>
                  </w:tcBorders>
                </w:tcPr>
                <w:p w14:paraId="7008880D">
                  <w:pPr>
                    <w:spacing w:after="160"/>
                    <w:rPr>
                      <w:szCs w:val="22"/>
                      <w14:ligatures w14:val="standardContextual"/>
                    </w:rPr>
                  </w:pPr>
                  <w:r>
                    <w:rPr>
                      <w:szCs w:val="22"/>
                      <w14:ligatures w14:val="standardContextual"/>
                    </w:rPr>
                    <w:t>≥150 mm</w:t>
                  </w:r>
                </w:p>
              </w:tc>
            </w:tr>
            <w:tr w14:paraId="08C7A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5FD6682D">
                  <w:pPr>
                    <w:spacing w:after="160"/>
                    <w:rPr>
                      <w:b/>
                      <w:bCs/>
                      <w:szCs w:val="22"/>
                      <w14:ligatures w14:val="standardContextual"/>
                    </w:rPr>
                  </w:pPr>
                </w:p>
              </w:tc>
              <w:tc>
                <w:tcPr>
                  <w:tcW w:w="1720" w:type="pct"/>
                  <w:vMerge w:val="continue"/>
                  <w:vAlign w:val="center"/>
                </w:tcPr>
                <w:p w14:paraId="3F676129">
                  <w:pPr>
                    <w:spacing w:after="160"/>
                    <w:rPr>
                      <w:szCs w:val="22"/>
                      <w14:ligatures w14:val="standardContextual"/>
                    </w:rPr>
                  </w:pPr>
                </w:p>
              </w:tc>
              <w:tc>
                <w:tcPr>
                  <w:tcW w:w="1304" w:type="pct"/>
                </w:tcPr>
                <w:p w14:paraId="7C07416D">
                  <w:pPr>
                    <w:spacing w:after="160"/>
                    <w:rPr>
                      <w:szCs w:val="22"/>
                      <w14:ligatures w14:val="standardContextual"/>
                    </w:rPr>
                  </w:pPr>
                  <w:r>
                    <w:rPr>
                      <w:szCs w:val="22"/>
                      <w14:ligatures w14:val="standardContextual"/>
                    </w:rPr>
                    <w:t>定位精度</w:t>
                  </w:r>
                </w:p>
              </w:tc>
              <w:tc>
                <w:tcPr>
                  <w:tcW w:w="1586" w:type="pct"/>
                  <w:gridSpan w:val="2"/>
                </w:tcPr>
                <w:p w14:paraId="3D65E324">
                  <w:pPr>
                    <w:spacing w:after="160"/>
                    <w:rPr>
                      <w:szCs w:val="22"/>
                      <w14:ligatures w14:val="standardContextual"/>
                    </w:rPr>
                  </w:pPr>
                  <w:r>
                    <w:rPr>
                      <w:szCs w:val="22"/>
                      <w14:ligatures w14:val="standardContextual"/>
                    </w:rPr>
                    <w:t>≤10 μm</w:t>
                  </w:r>
                </w:p>
              </w:tc>
            </w:tr>
            <w:tr w14:paraId="03B15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nil"/>
                    <w:bottom w:val="nil"/>
                  </w:tcBorders>
                </w:tcPr>
                <w:p w14:paraId="6F9DD56C">
                  <w:pPr>
                    <w:spacing w:after="160"/>
                    <w:rPr>
                      <w:b/>
                      <w:bCs/>
                      <w:szCs w:val="22"/>
                      <w14:ligatures w14:val="standardContextual"/>
                    </w:rPr>
                  </w:pPr>
                </w:p>
              </w:tc>
              <w:tc>
                <w:tcPr>
                  <w:tcW w:w="1720" w:type="pct"/>
                  <w:vMerge w:val="continue"/>
                  <w:tcBorders>
                    <w:top w:val="nil"/>
                    <w:bottom w:val="nil"/>
                  </w:tcBorders>
                  <w:vAlign w:val="center"/>
                </w:tcPr>
                <w:p w14:paraId="15117B03">
                  <w:pPr>
                    <w:spacing w:after="160"/>
                    <w:rPr>
                      <w:szCs w:val="22"/>
                      <w14:ligatures w14:val="standardContextual"/>
                    </w:rPr>
                  </w:pPr>
                </w:p>
              </w:tc>
              <w:tc>
                <w:tcPr>
                  <w:tcW w:w="1304" w:type="pct"/>
                  <w:tcBorders>
                    <w:top w:val="nil"/>
                    <w:bottom w:val="nil"/>
                  </w:tcBorders>
                </w:tcPr>
                <w:p w14:paraId="5AA8CF6C">
                  <w:pPr>
                    <w:spacing w:after="160"/>
                    <w:rPr>
                      <w:szCs w:val="22"/>
                      <w14:ligatures w14:val="standardContextual"/>
                    </w:rPr>
                  </w:pPr>
                  <w:r>
                    <w:rPr>
                      <w:szCs w:val="22"/>
                      <w14:ligatures w14:val="standardContextual"/>
                    </w:rPr>
                    <w:t>重复定位精度</w:t>
                  </w:r>
                </w:p>
              </w:tc>
              <w:tc>
                <w:tcPr>
                  <w:tcW w:w="1586" w:type="pct"/>
                  <w:gridSpan w:val="2"/>
                  <w:tcBorders>
                    <w:top w:val="nil"/>
                    <w:bottom w:val="nil"/>
                  </w:tcBorders>
                </w:tcPr>
                <w:p w14:paraId="192A37F4">
                  <w:pPr>
                    <w:spacing w:after="160"/>
                    <w:rPr>
                      <w:szCs w:val="22"/>
                      <w14:ligatures w14:val="standardContextual"/>
                    </w:rPr>
                  </w:pPr>
                  <w:r>
                    <w:rPr>
                      <w:szCs w:val="22"/>
                      <w14:ligatures w14:val="standardContextual"/>
                    </w:rPr>
                    <w:t>≤5 μm</w:t>
                  </w:r>
                </w:p>
              </w:tc>
            </w:tr>
            <w:tr w14:paraId="6712D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Pr>
                <w:p w14:paraId="4663FECE">
                  <w:pPr>
                    <w:spacing w:after="160"/>
                    <w:rPr>
                      <w:b/>
                      <w:bCs/>
                      <w:szCs w:val="22"/>
                      <w14:ligatures w14:val="standardContextual"/>
                    </w:rPr>
                  </w:pPr>
                  <w:r>
                    <w:rPr>
                      <w:b/>
                      <w:bCs/>
                      <w:szCs w:val="22"/>
                      <w14:ligatures w14:val="standardContextual"/>
                    </w:rPr>
                    <w:t>6</w:t>
                  </w:r>
                </w:p>
              </w:tc>
              <w:tc>
                <w:tcPr>
                  <w:tcW w:w="1720" w:type="pct"/>
                  <w:vMerge w:val="restart"/>
                  <w:vAlign w:val="center"/>
                </w:tcPr>
                <w:p w14:paraId="053304D3">
                  <w:pPr>
                    <w:spacing w:after="160"/>
                    <w:rPr>
                      <w:szCs w:val="22"/>
                      <w14:ligatures w14:val="standardContextual"/>
                    </w:rPr>
                  </w:pPr>
                  <w:r>
                    <w:rPr>
                      <w:szCs w:val="22"/>
                      <w14:ligatures w14:val="standardContextual"/>
                    </w:rPr>
                    <w:t>探测器 2 高度调节台</w:t>
                  </w:r>
                </w:p>
                <w:p w14:paraId="114CB9EB">
                  <w:pPr>
                    <w:spacing w:after="160"/>
                    <w:rPr>
                      <w:szCs w:val="22"/>
                      <w14:ligatures w14:val="standardContextual"/>
                    </w:rPr>
                  </w:pPr>
                </w:p>
              </w:tc>
              <w:tc>
                <w:tcPr>
                  <w:tcW w:w="1304" w:type="pct"/>
                </w:tcPr>
                <w:p w14:paraId="478526BD">
                  <w:pPr>
                    <w:spacing w:after="160"/>
                    <w:rPr>
                      <w:szCs w:val="22"/>
                      <w14:ligatures w14:val="standardContextual"/>
                    </w:rPr>
                  </w:pPr>
                  <w:r>
                    <w:rPr>
                      <w:szCs w:val="22"/>
                      <w14:ligatures w14:val="standardContextual"/>
                    </w:rPr>
                    <w:t>行程</w:t>
                  </w:r>
                </w:p>
              </w:tc>
              <w:tc>
                <w:tcPr>
                  <w:tcW w:w="1586" w:type="pct"/>
                  <w:gridSpan w:val="2"/>
                </w:tcPr>
                <w:p w14:paraId="5A2C0D9B">
                  <w:pPr>
                    <w:spacing w:after="160"/>
                    <w:rPr>
                      <w:szCs w:val="22"/>
                      <w14:ligatures w14:val="standardContextual"/>
                    </w:rPr>
                  </w:pPr>
                  <w:r>
                    <w:rPr>
                      <w:szCs w:val="22"/>
                      <w14:ligatures w14:val="standardContextual"/>
                    </w:rPr>
                    <w:t>≥150 mm</w:t>
                  </w:r>
                </w:p>
              </w:tc>
            </w:tr>
            <w:tr w14:paraId="73D1E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nil"/>
                    <w:bottom w:val="nil"/>
                  </w:tcBorders>
                </w:tcPr>
                <w:p w14:paraId="57F0357E">
                  <w:pPr>
                    <w:spacing w:after="160"/>
                    <w:rPr>
                      <w:b/>
                      <w:bCs/>
                      <w:szCs w:val="22"/>
                      <w14:ligatures w14:val="standardContextual"/>
                    </w:rPr>
                  </w:pPr>
                </w:p>
              </w:tc>
              <w:tc>
                <w:tcPr>
                  <w:tcW w:w="1720" w:type="pct"/>
                  <w:vMerge w:val="continue"/>
                  <w:tcBorders>
                    <w:top w:val="nil"/>
                    <w:bottom w:val="nil"/>
                  </w:tcBorders>
                  <w:vAlign w:val="center"/>
                </w:tcPr>
                <w:p w14:paraId="354103CE">
                  <w:pPr>
                    <w:spacing w:after="160"/>
                    <w:rPr>
                      <w:szCs w:val="22"/>
                      <w14:ligatures w14:val="standardContextual"/>
                    </w:rPr>
                  </w:pPr>
                </w:p>
              </w:tc>
              <w:tc>
                <w:tcPr>
                  <w:tcW w:w="1304" w:type="pct"/>
                  <w:tcBorders>
                    <w:top w:val="nil"/>
                    <w:bottom w:val="nil"/>
                  </w:tcBorders>
                </w:tcPr>
                <w:p w14:paraId="1A3BD84B">
                  <w:pPr>
                    <w:spacing w:after="160"/>
                    <w:rPr>
                      <w:szCs w:val="22"/>
                      <w14:ligatures w14:val="standardContextual"/>
                    </w:rPr>
                  </w:pPr>
                  <w:r>
                    <w:rPr>
                      <w:szCs w:val="22"/>
                      <w14:ligatures w14:val="standardContextual"/>
                    </w:rPr>
                    <w:t>定位精度</w:t>
                  </w:r>
                </w:p>
              </w:tc>
              <w:tc>
                <w:tcPr>
                  <w:tcW w:w="1586" w:type="pct"/>
                  <w:gridSpan w:val="2"/>
                  <w:tcBorders>
                    <w:top w:val="nil"/>
                    <w:bottom w:val="nil"/>
                  </w:tcBorders>
                </w:tcPr>
                <w:p w14:paraId="04E582A7">
                  <w:pPr>
                    <w:spacing w:after="160"/>
                    <w:rPr>
                      <w:szCs w:val="22"/>
                      <w14:ligatures w14:val="standardContextual"/>
                    </w:rPr>
                  </w:pPr>
                  <w:r>
                    <w:rPr>
                      <w:szCs w:val="22"/>
                      <w14:ligatures w14:val="standardContextual"/>
                    </w:rPr>
                    <w:t>≤10 μm</w:t>
                  </w:r>
                </w:p>
              </w:tc>
            </w:tr>
            <w:tr w14:paraId="3CC59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5676794C">
                  <w:pPr>
                    <w:spacing w:after="160"/>
                    <w:rPr>
                      <w:b/>
                      <w:bCs/>
                      <w:szCs w:val="22"/>
                      <w14:ligatures w14:val="standardContextual"/>
                    </w:rPr>
                  </w:pPr>
                </w:p>
              </w:tc>
              <w:tc>
                <w:tcPr>
                  <w:tcW w:w="1720" w:type="pct"/>
                  <w:vMerge w:val="continue"/>
                  <w:vAlign w:val="center"/>
                </w:tcPr>
                <w:p w14:paraId="1A183573">
                  <w:pPr>
                    <w:spacing w:after="160"/>
                    <w:rPr>
                      <w:szCs w:val="22"/>
                      <w14:ligatures w14:val="standardContextual"/>
                    </w:rPr>
                  </w:pPr>
                </w:p>
              </w:tc>
              <w:tc>
                <w:tcPr>
                  <w:tcW w:w="1304" w:type="pct"/>
                </w:tcPr>
                <w:p w14:paraId="2DC73247">
                  <w:pPr>
                    <w:spacing w:after="160"/>
                    <w:rPr>
                      <w:szCs w:val="22"/>
                      <w14:ligatures w14:val="standardContextual"/>
                    </w:rPr>
                  </w:pPr>
                  <w:r>
                    <w:rPr>
                      <w:szCs w:val="22"/>
                      <w14:ligatures w14:val="standardContextual"/>
                    </w:rPr>
                    <w:t>重复定位精度</w:t>
                  </w:r>
                </w:p>
              </w:tc>
              <w:tc>
                <w:tcPr>
                  <w:tcW w:w="1586" w:type="pct"/>
                  <w:gridSpan w:val="2"/>
                </w:tcPr>
                <w:p w14:paraId="4DE09BCB">
                  <w:pPr>
                    <w:spacing w:after="160"/>
                    <w:rPr>
                      <w:szCs w:val="22"/>
                      <w14:ligatures w14:val="standardContextual"/>
                    </w:rPr>
                  </w:pPr>
                  <w:r>
                    <w:rPr>
                      <w:szCs w:val="22"/>
                      <w14:ligatures w14:val="standardContextual"/>
                    </w:rPr>
                    <w:t>≤5 μm</w:t>
                  </w:r>
                </w:p>
              </w:tc>
            </w:tr>
            <w:tr w14:paraId="07526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nil"/>
                    <w:bottom w:val="nil"/>
                  </w:tcBorders>
                  <w:vAlign w:val="center"/>
                </w:tcPr>
                <w:p w14:paraId="03636A59">
                  <w:pPr>
                    <w:rPr>
                      <w:b/>
                      <w:bCs/>
                      <w:szCs w:val="22"/>
                      <w14:ligatures w14:val="standardContextual"/>
                    </w:rPr>
                  </w:pPr>
                  <w:r>
                    <w:rPr>
                      <w:b/>
                      <w:bCs/>
                      <w:szCs w:val="22"/>
                      <w14:ligatures w14:val="standardContextual"/>
                    </w:rPr>
                    <w:t>7</w:t>
                  </w:r>
                </w:p>
              </w:tc>
              <w:tc>
                <w:tcPr>
                  <w:tcW w:w="1720" w:type="pct"/>
                  <w:vMerge w:val="restart"/>
                  <w:tcBorders>
                    <w:top w:val="nil"/>
                    <w:bottom w:val="nil"/>
                  </w:tcBorders>
                  <w:vAlign w:val="center"/>
                </w:tcPr>
                <w:p w14:paraId="17F391BB">
                  <w:pPr>
                    <w:rPr>
                      <w:szCs w:val="22"/>
                      <w14:ligatures w14:val="standardContextual"/>
                    </w:rPr>
                  </w:pPr>
                  <w:r>
                    <w:rPr>
                      <w:szCs w:val="22"/>
                      <w14:ligatures w14:val="standardContextual"/>
                    </w:rPr>
                    <w:t>探测器保护盖升降台</w:t>
                  </w:r>
                </w:p>
              </w:tc>
              <w:tc>
                <w:tcPr>
                  <w:tcW w:w="1304" w:type="pct"/>
                  <w:tcBorders>
                    <w:top w:val="nil"/>
                    <w:bottom w:val="nil"/>
                  </w:tcBorders>
                </w:tcPr>
                <w:p w14:paraId="762A6BA7">
                  <w:pPr>
                    <w:rPr>
                      <w:szCs w:val="22"/>
                      <w14:ligatures w14:val="standardContextual"/>
                    </w:rPr>
                  </w:pPr>
                  <w:r>
                    <w:rPr>
                      <w:szCs w:val="22"/>
                      <w14:ligatures w14:val="standardContextual"/>
                    </w:rPr>
                    <w:t>行程</w:t>
                  </w:r>
                </w:p>
              </w:tc>
              <w:tc>
                <w:tcPr>
                  <w:tcW w:w="1586" w:type="pct"/>
                  <w:gridSpan w:val="2"/>
                  <w:tcBorders>
                    <w:top w:val="nil"/>
                    <w:bottom w:val="nil"/>
                  </w:tcBorders>
                </w:tcPr>
                <w:p w14:paraId="5470D2C3">
                  <w:pPr>
                    <w:rPr>
                      <w:szCs w:val="22"/>
                      <w14:ligatures w14:val="standardContextual"/>
                    </w:rPr>
                  </w:pPr>
                  <w:r>
                    <w:rPr>
                      <w:szCs w:val="22"/>
                      <w14:ligatures w14:val="standardContextual"/>
                    </w:rPr>
                    <w:t>≥80 mm</w:t>
                  </w:r>
                </w:p>
              </w:tc>
            </w:tr>
            <w:tr w14:paraId="2E86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006C31D9">
                  <w:pPr>
                    <w:rPr>
                      <w:b/>
                      <w:bCs/>
                      <w:szCs w:val="22"/>
                      <w14:ligatures w14:val="standardContextual"/>
                    </w:rPr>
                  </w:pPr>
                </w:p>
              </w:tc>
              <w:tc>
                <w:tcPr>
                  <w:tcW w:w="1720" w:type="pct"/>
                  <w:vMerge w:val="continue"/>
                  <w:vAlign w:val="center"/>
                </w:tcPr>
                <w:p w14:paraId="51C10D40">
                  <w:pPr>
                    <w:rPr>
                      <w:szCs w:val="22"/>
                      <w14:ligatures w14:val="standardContextual"/>
                    </w:rPr>
                  </w:pPr>
                </w:p>
              </w:tc>
              <w:tc>
                <w:tcPr>
                  <w:tcW w:w="1304" w:type="pct"/>
                </w:tcPr>
                <w:p w14:paraId="76262BA9">
                  <w:pPr>
                    <w:rPr>
                      <w:szCs w:val="22"/>
                      <w14:ligatures w14:val="standardContextual"/>
                    </w:rPr>
                  </w:pPr>
                  <w:r>
                    <w:rPr>
                      <w:szCs w:val="22"/>
                      <w14:ligatures w14:val="standardContextual"/>
                    </w:rPr>
                    <w:t>定位精度</w:t>
                  </w:r>
                </w:p>
              </w:tc>
              <w:tc>
                <w:tcPr>
                  <w:tcW w:w="1586" w:type="pct"/>
                  <w:gridSpan w:val="2"/>
                </w:tcPr>
                <w:p w14:paraId="3165EEC7">
                  <w:pPr>
                    <w:rPr>
                      <w:szCs w:val="22"/>
                      <w14:ligatures w14:val="standardContextual"/>
                    </w:rPr>
                  </w:pPr>
                  <w:r>
                    <w:rPr>
                      <w:szCs w:val="22"/>
                      <w14:ligatures w14:val="standardContextual"/>
                    </w:rPr>
                    <w:t>≤10 μm</w:t>
                  </w:r>
                </w:p>
              </w:tc>
            </w:tr>
            <w:tr w14:paraId="368AD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88" w:type="pct"/>
                  <w:vMerge w:val="restart"/>
                  <w:tcBorders>
                    <w:top w:val="nil"/>
                    <w:bottom w:val="nil"/>
                  </w:tcBorders>
                  <w:vAlign w:val="center"/>
                </w:tcPr>
                <w:p w14:paraId="681AE394">
                  <w:pPr>
                    <w:spacing w:after="160"/>
                    <w:rPr>
                      <w:b/>
                      <w:bCs/>
                      <w:szCs w:val="22"/>
                      <w14:ligatures w14:val="standardContextual"/>
                    </w:rPr>
                  </w:pPr>
                  <w:r>
                    <w:rPr>
                      <w:b/>
                      <w:bCs/>
                      <w:szCs w:val="22"/>
                      <w14:ligatures w14:val="standardContextual"/>
                    </w:rPr>
                    <w:t>8</w:t>
                  </w:r>
                </w:p>
              </w:tc>
              <w:tc>
                <w:tcPr>
                  <w:tcW w:w="1720" w:type="pct"/>
                  <w:vMerge w:val="restart"/>
                  <w:tcBorders>
                    <w:top w:val="nil"/>
                    <w:bottom w:val="nil"/>
                  </w:tcBorders>
                  <w:vAlign w:val="center"/>
                </w:tcPr>
                <w:p w14:paraId="6A99863F">
                  <w:pPr>
                    <w:spacing w:after="160"/>
                    <w:rPr>
                      <w:szCs w:val="22"/>
                      <w14:ligatures w14:val="standardContextual"/>
                    </w:rPr>
                  </w:pPr>
                  <w:r>
                    <w:rPr>
                      <w:szCs w:val="22"/>
                      <w14:ligatures w14:val="standardContextual"/>
                    </w:rPr>
                    <w:t>二维快门调节台</w:t>
                  </w:r>
                </w:p>
                <w:p w14:paraId="1EC004CB">
                  <w:pPr>
                    <w:spacing w:after="160"/>
                    <w:rPr>
                      <w:szCs w:val="22"/>
                      <w14:ligatures w14:val="standardContextual"/>
                    </w:rPr>
                  </w:pPr>
                </w:p>
              </w:tc>
              <w:tc>
                <w:tcPr>
                  <w:tcW w:w="1304" w:type="pct"/>
                  <w:tcBorders>
                    <w:top w:val="nil"/>
                    <w:bottom w:val="nil"/>
                  </w:tcBorders>
                </w:tcPr>
                <w:p w14:paraId="4784946C">
                  <w:pPr>
                    <w:spacing w:after="160"/>
                    <w:rPr>
                      <w:szCs w:val="22"/>
                      <w14:ligatures w14:val="standardContextual"/>
                    </w:rPr>
                  </w:pPr>
                  <w:r>
                    <w:rPr>
                      <w:szCs w:val="22"/>
                      <w14:ligatures w14:val="standardContextual"/>
                    </w:rPr>
                    <w:t>行程</w:t>
                  </w:r>
                </w:p>
              </w:tc>
              <w:tc>
                <w:tcPr>
                  <w:tcW w:w="1586" w:type="pct"/>
                  <w:gridSpan w:val="2"/>
                  <w:tcBorders>
                    <w:top w:val="nil"/>
                    <w:bottom w:val="nil"/>
                  </w:tcBorders>
                </w:tcPr>
                <w:p w14:paraId="443EC14F">
                  <w:pPr>
                    <w:spacing w:after="160"/>
                    <w:rPr>
                      <w:szCs w:val="22"/>
                      <w14:ligatures w14:val="standardContextual"/>
                    </w:rPr>
                  </w:pPr>
                  <w:r>
                    <w:rPr>
                      <w:szCs w:val="22"/>
                      <w14:ligatures w14:val="standardContextual"/>
                    </w:rPr>
                    <w:t>≥50 mm</w:t>
                  </w:r>
                </w:p>
              </w:tc>
            </w:tr>
            <w:tr w14:paraId="0FB9A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388" w:type="pct"/>
                  <w:vMerge w:val="continue"/>
                  <w:vAlign w:val="center"/>
                </w:tcPr>
                <w:p w14:paraId="0788A6F6">
                  <w:pPr>
                    <w:spacing w:after="160"/>
                    <w:rPr>
                      <w:b/>
                      <w:bCs/>
                      <w:szCs w:val="22"/>
                      <w14:ligatures w14:val="standardContextual"/>
                    </w:rPr>
                  </w:pPr>
                </w:p>
              </w:tc>
              <w:tc>
                <w:tcPr>
                  <w:tcW w:w="1720" w:type="pct"/>
                  <w:vMerge w:val="continue"/>
                  <w:vAlign w:val="center"/>
                </w:tcPr>
                <w:p w14:paraId="2079E524">
                  <w:pPr>
                    <w:spacing w:after="160"/>
                    <w:rPr>
                      <w:szCs w:val="22"/>
                      <w14:ligatures w14:val="standardContextual"/>
                    </w:rPr>
                  </w:pPr>
                </w:p>
              </w:tc>
              <w:tc>
                <w:tcPr>
                  <w:tcW w:w="1304" w:type="pct"/>
                </w:tcPr>
                <w:p w14:paraId="7F584B46">
                  <w:pPr>
                    <w:spacing w:after="160"/>
                    <w:rPr>
                      <w:szCs w:val="22"/>
                      <w14:ligatures w14:val="standardContextual"/>
                    </w:rPr>
                  </w:pPr>
                  <w:r>
                    <w:rPr>
                      <w:szCs w:val="22"/>
                      <w14:ligatures w14:val="standardContextual"/>
                    </w:rPr>
                    <w:t>分辨率</w:t>
                  </w:r>
                </w:p>
              </w:tc>
              <w:tc>
                <w:tcPr>
                  <w:tcW w:w="1586" w:type="pct"/>
                  <w:gridSpan w:val="2"/>
                </w:tcPr>
                <w:p w14:paraId="794CBB48">
                  <w:pPr>
                    <w:spacing w:after="160"/>
                    <w:rPr>
                      <w:szCs w:val="22"/>
                      <w14:ligatures w14:val="standardContextual"/>
                    </w:rPr>
                  </w:pPr>
                  <w:r>
                    <w:rPr>
                      <w:szCs w:val="22"/>
                      <w14:ligatures w14:val="standardContextual"/>
                    </w:rPr>
                    <w:t>≤3 μm</w:t>
                  </w:r>
                </w:p>
              </w:tc>
            </w:tr>
            <w:tr w14:paraId="1D538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nil"/>
                    <w:bottom w:val="nil"/>
                  </w:tcBorders>
                  <w:vAlign w:val="center"/>
                </w:tcPr>
                <w:p w14:paraId="6045AFFB">
                  <w:pPr>
                    <w:rPr>
                      <w:b/>
                      <w:bCs/>
                      <w:szCs w:val="22"/>
                      <w14:ligatures w14:val="standardContextual"/>
                    </w:rPr>
                  </w:pPr>
                  <w:r>
                    <w:rPr>
                      <w:b/>
                      <w:bCs/>
                      <w:szCs w:val="22"/>
                      <w14:ligatures w14:val="standardContextual"/>
                    </w:rPr>
                    <w:t>9</w:t>
                  </w:r>
                </w:p>
              </w:tc>
              <w:tc>
                <w:tcPr>
                  <w:tcW w:w="1720" w:type="pct"/>
                  <w:vMerge w:val="restart"/>
                  <w:tcBorders>
                    <w:top w:val="nil"/>
                    <w:bottom w:val="nil"/>
                  </w:tcBorders>
                  <w:vAlign w:val="center"/>
                </w:tcPr>
                <w:p w14:paraId="6C7D20E0">
                  <w:pPr>
                    <w:spacing w:after="160"/>
                    <w:rPr>
                      <w:szCs w:val="22"/>
                      <w14:ligatures w14:val="standardContextual"/>
                    </w:rPr>
                  </w:pPr>
                  <w:r>
                    <w:rPr>
                      <w:szCs w:val="22"/>
                      <w14:ligatures w14:val="standardContextual"/>
                    </w:rPr>
                    <w:t>二维针孔调节台1</w:t>
                  </w:r>
                </w:p>
              </w:tc>
              <w:tc>
                <w:tcPr>
                  <w:tcW w:w="1304" w:type="pct"/>
                  <w:tcBorders>
                    <w:top w:val="nil"/>
                    <w:bottom w:val="nil"/>
                  </w:tcBorders>
                </w:tcPr>
                <w:p w14:paraId="17631269">
                  <w:pPr>
                    <w:rPr>
                      <w:szCs w:val="22"/>
                      <w14:ligatures w14:val="standardContextual"/>
                    </w:rPr>
                  </w:pPr>
                  <w:r>
                    <w:rPr>
                      <w:szCs w:val="22"/>
                      <w14:ligatures w14:val="standardContextual"/>
                    </w:rPr>
                    <w:t>行程</w:t>
                  </w:r>
                </w:p>
              </w:tc>
              <w:tc>
                <w:tcPr>
                  <w:tcW w:w="1586" w:type="pct"/>
                  <w:gridSpan w:val="2"/>
                  <w:tcBorders>
                    <w:top w:val="nil"/>
                    <w:bottom w:val="nil"/>
                  </w:tcBorders>
                </w:tcPr>
                <w:p w14:paraId="4EC60250">
                  <w:pPr>
                    <w:rPr>
                      <w:szCs w:val="22"/>
                      <w14:ligatures w14:val="standardContextual"/>
                    </w:rPr>
                  </w:pPr>
                  <w:r>
                    <w:rPr>
                      <w:szCs w:val="22"/>
                      <w14:ligatures w14:val="standardContextual"/>
                    </w:rPr>
                    <w:t>≥50 mm</w:t>
                  </w:r>
                </w:p>
              </w:tc>
            </w:tr>
            <w:tr w14:paraId="60FB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vAlign w:val="center"/>
                </w:tcPr>
                <w:p w14:paraId="2918E908">
                  <w:pPr>
                    <w:rPr>
                      <w:b/>
                      <w:bCs/>
                      <w:szCs w:val="22"/>
                      <w14:ligatures w14:val="standardContextual"/>
                    </w:rPr>
                  </w:pPr>
                </w:p>
              </w:tc>
              <w:tc>
                <w:tcPr>
                  <w:tcW w:w="1720" w:type="pct"/>
                  <w:vMerge w:val="continue"/>
                  <w:vAlign w:val="center"/>
                </w:tcPr>
                <w:p w14:paraId="3BB0AB3A">
                  <w:pPr>
                    <w:rPr>
                      <w:szCs w:val="22"/>
                      <w14:ligatures w14:val="standardContextual"/>
                    </w:rPr>
                  </w:pPr>
                </w:p>
              </w:tc>
              <w:tc>
                <w:tcPr>
                  <w:tcW w:w="1304" w:type="pct"/>
                </w:tcPr>
                <w:p w14:paraId="03A5A950">
                  <w:pPr>
                    <w:rPr>
                      <w:szCs w:val="22"/>
                      <w14:ligatures w14:val="standardContextual"/>
                    </w:rPr>
                  </w:pPr>
                  <w:r>
                    <w:rPr>
                      <w:szCs w:val="22"/>
                      <w14:ligatures w14:val="standardContextual"/>
                    </w:rPr>
                    <w:t>分辨率</w:t>
                  </w:r>
                </w:p>
              </w:tc>
              <w:tc>
                <w:tcPr>
                  <w:tcW w:w="1586" w:type="pct"/>
                  <w:gridSpan w:val="2"/>
                </w:tcPr>
                <w:p w14:paraId="055D225B">
                  <w:pPr>
                    <w:rPr>
                      <w:szCs w:val="22"/>
                      <w14:ligatures w14:val="standardContextual"/>
                    </w:rPr>
                  </w:pPr>
                  <w:r>
                    <w:rPr>
                      <w:szCs w:val="22"/>
                      <w14:ligatures w14:val="standardContextual"/>
                    </w:rPr>
                    <w:t>≤3 μm</w:t>
                  </w:r>
                </w:p>
              </w:tc>
            </w:tr>
            <w:tr w14:paraId="32F89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nil"/>
                    <w:bottom w:val="nil"/>
                  </w:tcBorders>
                  <w:vAlign w:val="center"/>
                </w:tcPr>
                <w:p w14:paraId="31D01388">
                  <w:pPr>
                    <w:rPr>
                      <w:b/>
                      <w:bCs/>
                      <w:szCs w:val="22"/>
                      <w14:ligatures w14:val="standardContextual"/>
                    </w:rPr>
                  </w:pPr>
                  <w:r>
                    <w:rPr>
                      <w:b/>
                      <w:bCs/>
                      <w:szCs w:val="22"/>
                      <w14:ligatures w14:val="standardContextual"/>
                    </w:rPr>
                    <w:t>10</w:t>
                  </w:r>
                </w:p>
              </w:tc>
              <w:tc>
                <w:tcPr>
                  <w:tcW w:w="1720" w:type="pct"/>
                  <w:vMerge w:val="restart"/>
                  <w:tcBorders>
                    <w:top w:val="nil"/>
                    <w:bottom w:val="nil"/>
                  </w:tcBorders>
                  <w:vAlign w:val="center"/>
                </w:tcPr>
                <w:p w14:paraId="168A09F9">
                  <w:pPr>
                    <w:rPr>
                      <w:szCs w:val="22"/>
                      <w14:ligatures w14:val="standardContextual"/>
                    </w:rPr>
                  </w:pPr>
                  <w:r>
                    <w:rPr>
                      <w:szCs w:val="22"/>
                      <w14:ligatures w14:val="standardContextual"/>
                    </w:rPr>
                    <w:t>二维针孔调节台2</w:t>
                  </w:r>
                </w:p>
              </w:tc>
              <w:tc>
                <w:tcPr>
                  <w:tcW w:w="1304" w:type="pct"/>
                  <w:tcBorders>
                    <w:top w:val="nil"/>
                    <w:bottom w:val="nil"/>
                  </w:tcBorders>
                </w:tcPr>
                <w:p w14:paraId="48AD4676">
                  <w:pPr>
                    <w:rPr>
                      <w:szCs w:val="22"/>
                      <w14:ligatures w14:val="standardContextual"/>
                    </w:rPr>
                  </w:pPr>
                  <w:r>
                    <w:rPr>
                      <w:szCs w:val="22"/>
                      <w14:ligatures w14:val="standardContextual"/>
                    </w:rPr>
                    <w:t>行程</w:t>
                  </w:r>
                </w:p>
              </w:tc>
              <w:tc>
                <w:tcPr>
                  <w:tcW w:w="1586" w:type="pct"/>
                  <w:gridSpan w:val="2"/>
                  <w:tcBorders>
                    <w:top w:val="nil"/>
                    <w:bottom w:val="nil"/>
                  </w:tcBorders>
                </w:tcPr>
                <w:p w14:paraId="3A74EEC4">
                  <w:pPr>
                    <w:tabs>
                      <w:tab w:val="center" w:pos="1404"/>
                    </w:tabs>
                    <w:rPr>
                      <w:szCs w:val="22"/>
                      <w14:ligatures w14:val="standardContextual"/>
                    </w:rPr>
                  </w:pPr>
                  <w:r>
                    <w:rPr>
                      <w:szCs w:val="22"/>
                      <w14:ligatures w14:val="standardContextual"/>
                    </w:rPr>
                    <w:t>≥50 mm</w:t>
                  </w:r>
                  <w:r>
                    <w:rPr>
                      <w:szCs w:val="22"/>
                      <w14:ligatures w14:val="standardContextual"/>
                    </w:rPr>
                    <w:tab/>
                  </w:r>
                </w:p>
              </w:tc>
            </w:tr>
            <w:tr w14:paraId="5B239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06B10995">
                  <w:pPr>
                    <w:rPr>
                      <w:b/>
                      <w:bCs/>
                      <w:szCs w:val="22"/>
                      <w14:ligatures w14:val="standardContextual"/>
                    </w:rPr>
                  </w:pPr>
                </w:p>
              </w:tc>
              <w:tc>
                <w:tcPr>
                  <w:tcW w:w="1720" w:type="pct"/>
                  <w:vMerge w:val="continue"/>
                  <w:vAlign w:val="center"/>
                </w:tcPr>
                <w:p w14:paraId="50C93FA4">
                  <w:pPr>
                    <w:rPr>
                      <w:szCs w:val="22"/>
                      <w14:ligatures w14:val="standardContextual"/>
                    </w:rPr>
                  </w:pPr>
                </w:p>
              </w:tc>
              <w:tc>
                <w:tcPr>
                  <w:tcW w:w="1304" w:type="pct"/>
                </w:tcPr>
                <w:p w14:paraId="539B5E5A">
                  <w:pPr>
                    <w:rPr>
                      <w:szCs w:val="22"/>
                      <w14:ligatures w14:val="standardContextual"/>
                    </w:rPr>
                  </w:pPr>
                  <w:r>
                    <w:rPr>
                      <w:szCs w:val="22"/>
                      <w14:ligatures w14:val="standardContextual"/>
                    </w:rPr>
                    <w:t>分辨率</w:t>
                  </w:r>
                </w:p>
              </w:tc>
              <w:tc>
                <w:tcPr>
                  <w:tcW w:w="1586" w:type="pct"/>
                  <w:gridSpan w:val="2"/>
                </w:tcPr>
                <w:p w14:paraId="0A7F927E">
                  <w:pPr>
                    <w:rPr>
                      <w:szCs w:val="22"/>
                      <w14:ligatures w14:val="standardContextual"/>
                    </w:rPr>
                  </w:pPr>
                  <w:r>
                    <w:rPr>
                      <w:szCs w:val="22"/>
                      <w14:ligatures w14:val="standardContextual"/>
                    </w:rPr>
                    <w:t>≤3 μm</w:t>
                  </w:r>
                </w:p>
              </w:tc>
            </w:tr>
            <w:tr w14:paraId="071D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single" w:color="7E7E7E" w:themeColor="text1" w:themeTint="80" w:sz="4" w:space="0"/>
                    <w:bottom w:val="single" w:color="7E7E7E" w:themeColor="text1" w:themeTint="80" w:sz="4" w:space="0"/>
                    <w:insideH w:val="single" w:sz="4" w:space="0"/>
                  </w:tcBorders>
                  <w:vAlign w:val="center"/>
                </w:tcPr>
                <w:p w14:paraId="00ACAB69">
                  <w:pPr>
                    <w:rPr>
                      <w:b/>
                      <w:bCs/>
                      <w:color w:val="000000" w:themeColor="text1"/>
                      <w:szCs w:val="22"/>
                      <w14:textFill>
                        <w14:solidFill>
                          <w14:schemeClr w14:val="tx1"/>
                        </w14:solidFill>
                      </w14:textFill>
                      <w14:ligatures w14:val="standardContextual"/>
                    </w:rPr>
                  </w:pPr>
                  <w:r>
                    <w:rPr>
                      <w:rFonts w:hint="eastAsia"/>
                      <w:b/>
                      <w:bCs/>
                      <w:color w:val="000000" w:themeColor="text1"/>
                      <w:szCs w:val="22"/>
                      <w14:textFill>
                        <w14:solidFill>
                          <w14:schemeClr w14:val="tx1"/>
                        </w14:solidFill>
                      </w14:textFill>
                      <w14:ligatures w14:val="standardContextual"/>
                    </w:rPr>
                    <w:t>11</w:t>
                  </w:r>
                </w:p>
              </w:tc>
              <w:tc>
                <w:tcPr>
                  <w:tcW w:w="1720" w:type="pct"/>
                  <w:vMerge w:val="restart"/>
                  <w:tcBorders>
                    <w:top w:val="single" w:color="7E7E7E" w:themeColor="text1" w:themeTint="80" w:sz="4" w:space="0"/>
                    <w:bottom w:val="single" w:color="7E7E7E" w:themeColor="text1" w:themeTint="80" w:sz="4" w:space="0"/>
                    <w:insideH w:val="single" w:sz="4" w:space="0"/>
                  </w:tcBorders>
                  <w:vAlign w:val="center"/>
                </w:tcPr>
                <w:p w14:paraId="7B387DAF">
                  <w:pPr>
                    <w:rPr>
                      <w:szCs w:val="22"/>
                      <w14:ligatures w14:val="standardContextual"/>
                    </w:rPr>
                  </w:pPr>
                  <w:r>
                    <w:rPr>
                      <w:rFonts w:hint="eastAsia"/>
                      <w:szCs w:val="22"/>
                      <w14:ligatures w14:val="standardContextual"/>
                    </w:rPr>
                    <w:t>探测器承重</w:t>
                  </w:r>
                </w:p>
              </w:tc>
              <w:tc>
                <w:tcPr>
                  <w:tcW w:w="1532" w:type="pct"/>
                  <w:gridSpan w:val="2"/>
                  <w:tcBorders>
                    <w:top w:val="single" w:color="7E7E7E" w:themeColor="text1" w:themeTint="80" w:sz="4" w:space="0"/>
                    <w:bottom w:val="single" w:color="7E7E7E" w:themeColor="text1" w:themeTint="80" w:sz="4" w:space="0"/>
                    <w:insideH w:val="single" w:sz="4" w:space="0"/>
                  </w:tcBorders>
                </w:tcPr>
                <w:p w14:paraId="413A98AA">
                  <w:pPr>
                    <w:rPr>
                      <w:szCs w:val="22"/>
                      <w14:ligatures w14:val="standardContextual"/>
                    </w:rPr>
                  </w:pPr>
                  <w:r>
                    <w:rPr>
                      <w:rFonts w:hint="eastAsia"/>
                      <w:szCs w:val="22"/>
                      <w14:ligatures w14:val="standardContextual"/>
                    </w:rPr>
                    <w:t>探测器1高度调节台侧载</w:t>
                  </w:r>
                </w:p>
              </w:tc>
              <w:tc>
                <w:tcPr>
                  <w:tcW w:w="1358" w:type="pct"/>
                  <w:tcBorders>
                    <w:top w:val="single" w:color="7E7E7E" w:themeColor="text1" w:themeTint="80" w:sz="4" w:space="0"/>
                    <w:bottom w:val="single" w:color="7E7E7E" w:themeColor="text1" w:themeTint="80" w:sz="4" w:space="0"/>
                    <w:insideH w:val="single" w:sz="4" w:space="0"/>
                  </w:tcBorders>
                </w:tcPr>
                <w:p w14:paraId="7FFF7AF6">
                  <w:pPr>
                    <w:rPr>
                      <w:szCs w:val="22"/>
                      <w14:ligatures w14:val="standardContextual"/>
                    </w:rPr>
                  </w:pPr>
                  <w:r>
                    <w:rPr>
                      <w:rFonts w:hint="eastAsia"/>
                      <w:szCs w:val="22"/>
                      <w14:ligatures w14:val="standardContextual"/>
                    </w:rPr>
                    <w:t>≥5kg</w:t>
                  </w:r>
                </w:p>
              </w:tc>
            </w:tr>
            <w:tr w14:paraId="0724D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vAlign w:val="center"/>
                </w:tcPr>
                <w:p w14:paraId="02A04948">
                  <w:pPr>
                    <w:rPr>
                      <w:b/>
                      <w:bCs/>
                      <w:color w:val="000000" w:themeColor="text1"/>
                      <w:szCs w:val="22"/>
                      <w14:textFill>
                        <w14:solidFill>
                          <w14:schemeClr w14:val="tx1"/>
                        </w14:solidFill>
                      </w14:textFill>
                      <w14:ligatures w14:val="standardContextual"/>
                    </w:rPr>
                  </w:pPr>
                </w:p>
              </w:tc>
              <w:tc>
                <w:tcPr>
                  <w:tcW w:w="1720" w:type="pct"/>
                  <w:vMerge w:val="continue"/>
                  <w:vAlign w:val="center"/>
                </w:tcPr>
                <w:p w14:paraId="5A27F093">
                  <w:pPr>
                    <w:rPr>
                      <w:szCs w:val="22"/>
                      <w14:ligatures w14:val="standardContextual"/>
                    </w:rPr>
                  </w:pPr>
                </w:p>
              </w:tc>
              <w:tc>
                <w:tcPr>
                  <w:tcW w:w="1532" w:type="pct"/>
                  <w:gridSpan w:val="2"/>
                </w:tcPr>
                <w:p w14:paraId="494511B1">
                  <w:pPr>
                    <w:rPr>
                      <w:szCs w:val="22"/>
                      <w14:ligatures w14:val="standardContextual"/>
                    </w:rPr>
                  </w:pPr>
                  <w:r>
                    <w:rPr>
                      <w:rFonts w:hint="eastAsia"/>
                      <w:szCs w:val="22"/>
                      <w14:ligatures w14:val="standardContextual"/>
                    </w:rPr>
                    <w:t>探测器2高度调节台侧载</w:t>
                  </w:r>
                </w:p>
              </w:tc>
              <w:tc>
                <w:tcPr>
                  <w:tcW w:w="1358" w:type="pct"/>
                </w:tcPr>
                <w:p w14:paraId="79C49F6B">
                  <w:pPr>
                    <w:rPr>
                      <w:szCs w:val="22"/>
                      <w14:ligatures w14:val="standardContextual"/>
                    </w:rPr>
                  </w:pPr>
                  <w:r>
                    <w:rPr>
                      <w:rFonts w:hint="eastAsia"/>
                      <w:szCs w:val="22"/>
                      <w14:ligatures w14:val="standardContextual"/>
                    </w:rPr>
                    <w:t>≥5kg</w:t>
                  </w:r>
                </w:p>
              </w:tc>
            </w:tr>
            <w:tr w14:paraId="2371C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single" w:color="7E7E7E" w:themeColor="text1" w:themeTint="80" w:sz="4" w:space="0"/>
                    <w:bottom w:val="single" w:color="7E7E7E" w:themeColor="text1" w:themeTint="80" w:sz="4" w:space="0"/>
                    <w:insideH w:val="single" w:sz="4" w:space="0"/>
                  </w:tcBorders>
                </w:tcPr>
                <w:p w14:paraId="2A53DF9D">
                  <w:pPr>
                    <w:rPr>
                      <w:b/>
                      <w:bCs/>
                      <w:color w:val="000000" w:themeColor="text1"/>
                      <w:szCs w:val="22"/>
                      <w14:textFill>
                        <w14:solidFill>
                          <w14:schemeClr w14:val="tx1"/>
                        </w14:solidFill>
                      </w14:textFill>
                      <w14:ligatures w14:val="standardContextual"/>
                    </w:rPr>
                  </w:pPr>
                </w:p>
              </w:tc>
              <w:tc>
                <w:tcPr>
                  <w:tcW w:w="1720" w:type="pct"/>
                  <w:vMerge w:val="continue"/>
                  <w:tcBorders>
                    <w:top w:val="single" w:color="7E7E7E" w:themeColor="text1" w:themeTint="80" w:sz="4" w:space="0"/>
                    <w:bottom w:val="single" w:color="7E7E7E" w:themeColor="text1" w:themeTint="80" w:sz="4" w:space="0"/>
                    <w:insideH w:val="single" w:sz="4" w:space="0"/>
                  </w:tcBorders>
                  <w:vAlign w:val="center"/>
                </w:tcPr>
                <w:p w14:paraId="6EB64E84">
                  <w:pPr>
                    <w:rPr>
                      <w:szCs w:val="22"/>
                      <w14:ligatures w14:val="standardContextual"/>
                    </w:rPr>
                  </w:pPr>
                </w:p>
              </w:tc>
              <w:tc>
                <w:tcPr>
                  <w:tcW w:w="1532" w:type="pct"/>
                  <w:gridSpan w:val="2"/>
                  <w:tcBorders>
                    <w:top w:val="single" w:color="7E7E7E" w:themeColor="text1" w:themeTint="80" w:sz="4" w:space="0"/>
                    <w:bottom w:val="single" w:color="7E7E7E" w:themeColor="text1" w:themeTint="80" w:sz="4" w:space="0"/>
                    <w:insideH w:val="single" w:sz="4" w:space="0"/>
                  </w:tcBorders>
                </w:tcPr>
                <w:p w14:paraId="62EF1EE7">
                  <w:pPr>
                    <w:rPr>
                      <w:szCs w:val="22"/>
                      <w14:ligatures w14:val="standardContextual"/>
                    </w:rPr>
                  </w:pPr>
                  <w:r>
                    <w:rPr>
                      <w:rFonts w:hint="eastAsia"/>
                      <w:szCs w:val="22"/>
                      <w14:ligatures w14:val="standardContextual"/>
                    </w:rPr>
                    <w:t>样品底座位移台负载</w:t>
                  </w:r>
                </w:p>
              </w:tc>
              <w:tc>
                <w:tcPr>
                  <w:tcW w:w="1358" w:type="pct"/>
                  <w:tcBorders>
                    <w:top w:val="single" w:color="7E7E7E" w:themeColor="text1" w:themeTint="80" w:sz="4" w:space="0"/>
                    <w:bottom w:val="single" w:color="7E7E7E" w:themeColor="text1" w:themeTint="80" w:sz="4" w:space="0"/>
                    <w:insideH w:val="single" w:sz="4" w:space="0"/>
                  </w:tcBorders>
                </w:tcPr>
                <w:p w14:paraId="0A8174FD">
                  <w:pPr>
                    <w:rPr>
                      <w:szCs w:val="22"/>
                      <w14:ligatures w14:val="standardContextual"/>
                    </w:rPr>
                  </w:pPr>
                  <w:r>
                    <w:rPr>
                      <w:rFonts w:hint="eastAsia"/>
                      <w:szCs w:val="22"/>
                      <w14:ligatures w14:val="standardContextual"/>
                    </w:rPr>
                    <w:t>≥50kg</w:t>
                  </w:r>
                </w:p>
              </w:tc>
            </w:tr>
            <w:tr w14:paraId="68BD8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tcPr>
                <w:p w14:paraId="5EA19E4C">
                  <w:pPr>
                    <w:rPr>
                      <w:b/>
                      <w:bCs/>
                      <w:color w:val="000000" w:themeColor="text1"/>
                      <w:szCs w:val="22"/>
                      <w14:textFill>
                        <w14:solidFill>
                          <w14:schemeClr w14:val="tx1"/>
                        </w14:solidFill>
                      </w14:textFill>
                      <w14:ligatures w14:val="standardContextual"/>
                    </w:rPr>
                  </w:pPr>
                  <w:r>
                    <w:rPr>
                      <w:rFonts w:hint="eastAsia"/>
                      <w:b/>
                      <w:bCs/>
                      <w:color w:val="000000" w:themeColor="text1"/>
                      <w:szCs w:val="22"/>
                      <w14:textFill>
                        <w14:solidFill>
                          <w14:schemeClr w14:val="tx1"/>
                        </w14:solidFill>
                      </w14:textFill>
                      <w14:ligatures w14:val="standardContextual"/>
                    </w:rPr>
                    <w:t>12</w:t>
                  </w:r>
                </w:p>
              </w:tc>
              <w:tc>
                <w:tcPr>
                  <w:tcW w:w="1720" w:type="pct"/>
                  <w:vAlign w:val="center"/>
                </w:tcPr>
                <w:p w14:paraId="7942BF3E">
                  <w:pPr>
                    <w:rPr>
                      <w:szCs w:val="22"/>
                      <w14:ligatures w14:val="standardContextual"/>
                    </w:rPr>
                  </w:pPr>
                  <w:r>
                    <w:rPr>
                      <w:szCs w:val="22"/>
                      <w14:ligatures w14:val="standardContextual"/>
                    </w:rPr>
                    <w:t>机身主体</w:t>
                  </w:r>
                  <w:r>
                    <w:rPr>
                      <w:rFonts w:hint="eastAsia"/>
                      <w:szCs w:val="22"/>
                      <w14:ligatures w14:val="standardContextual"/>
                    </w:rPr>
                    <w:t>稳定性要求</w:t>
                  </w:r>
                </w:p>
              </w:tc>
              <w:tc>
                <w:tcPr>
                  <w:tcW w:w="1532" w:type="pct"/>
                  <w:gridSpan w:val="2"/>
                </w:tcPr>
                <w:p w14:paraId="10AFB479">
                  <w:pPr>
                    <w:rPr>
                      <w:szCs w:val="22"/>
                      <w14:ligatures w14:val="standardContextual"/>
                    </w:rPr>
                  </w:pPr>
                  <w:r>
                    <w:rPr>
                      <w:rFonts w:hint="eastAsia"/>
                      <w:szCs w:val="22"/>
                      <w14:ligatures w14:val="standardContextual"/>
                    </w:rPr>
                    <w:t>样品底座与探测器台的</w:t>
                  </w:r>
                </w:p>
                <w:p w14:paraId="3FAB3EAE">
                  <w:pPr>
                    <w:rPr>
                      <w:szCs w:val="22"/>
                      <w14:ligatures w14:val="standardContextual"/>
                    </w:rPr>
                  </w:pPr>
                  <w:r>
                    <w:rPr>
                      <w:rFonts w:hint="eastAsia"/>
                      <w:szCs w:val="22"/>
                      <w14:ligatures w14:val="standardContextual"/>
                    </w:rPr>
                    <w:t>负载处稳定性</w:t>
                  </w:r>
                </w:p>
              </w:tc>
              <w:tc>
                <w:tcPr>
                  <w:tcW w:w="1358" w:type="pct"/>
                </w:tcPr>
                <w:p w14:paraId="27905FF2">
                  <w:pPr>
                    <w:rPr>
                      <w:szCs w:val="22"/>
                      <w14:ligatures w14:val="standardContextual"/>
                    </w:rPr>
                  </w:pPr>
                  <w:r>
                    <w:rPr>
                      <w:szCs w:val="22"/>
                      <w14:ligatures w14:val="standardContextual"/>
                    </w:rPr>
                    <w:t>≤</w:t>
                  </w:r>
                  <w:r>
                    <w:rPr>
                      <w:rFonts w:hint="eastAsia"/>
                      <w:szCs w:val="22"/>
                      <w14:ligatures w14:val="standardContextual"/>
                    </w:rPr>
                    <w:t>3</w:t>
                  </w:r>
                  <w:r>
                    <w:rPr>
                      <w:szCs w:val="22"/>
                      <w14:ligatures w14:val="standardContextual"/>
                    </w:rPr>
                    <w:t xml:space="preserve"> μm</w:t>
                  </w:r>
                  <w:r>
                    <w:rPr>
                      <w:rFonts w:hint="eastAsia"/>
                      <w:szCs w:val="22"/>
                      <w14:ligatures w14:val="standardContextual"/>
                    </w:rPr>
                    <w:t xml:space="preserve"> RMS@1-100Hz</w:t>
                  </w:r>
                </w:p>
              </w:tc>
            </w:tr>
            <w:tr w14:paraId="6E7E6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tcBorders>
                    <w:top w:val="single" w:color="7E7E7E" w:themeColor="text1" w:themeTint="80" w:sz="4" w:space="0"/>
                    <w:bottom w:val="single" w:color="7E7E7E" w:themeColor="text1" w:themeTint="80" w:sz="4" w:space="0"/>
                    <w:insideH w:val="single" w:sz="4" w:space="0"/>
                  </w:tcBorders>
                </w:tcPr>
                <w:p w14:paraId="4ABF00F6">
                  <w:pPr>
                    <w:rPr>
                      <w:b/>
                      <w:bCs/>
                      <w:color w:val="000000" w:themeColor="text1"/>
                      <w:szCs w:val="22"/>
                      <w14:textFill>
                        <w14:solidFill>
                          <w14:schemeClr w14:val="tx1"/>
                        </w14:solidFill>
                      </w14:textFill>
                      <w14:ligatures w14:val="standardContextual"/>
                    </w:rPr>
                  </w:pPr>
                  <w:r>
                    <w:rPr>
                      <w:rFonts w:hint="eastAsia"/>
                      <w:b/>
                      <w:bCs/>
                      <w:color w:val="000000" w:themeColor="text1"/>
                      <w:szCs w:val="22"/>
                      <w14:textFill>
                        <w14:solidFill>
                          <w14:schemeClr w14:val="tx1"/>
                        </w14:solidFill>
                      </w14:textFill>
                      <w14:ligatures w14:val="standardContextual"/>
                    </w:rPr>
                    <w:t>13</w:t>
                  </w:r>
                </w:p>
              </w:tc>
              <w:tc>
                <w:tcPr>
                  <w:tcW w:w="1720" w:type="pct"/>
                  <w:tcBorders>
                    <w:top w:val="single" w:color="7E7E7E" w:themeColor="text1" w:themeTint="80" w:sz="4" w:space="0"/>
                    <w:bottom w:val="single" w:color="7E7E7E" w:themeColor="text1" w:themeTint="80" w:sz="4" w:space="0"/>
                    <w:insideH w:val="single" w:sz="4" w:space="0"/>
                  </w:tcBorders>
                  <w:vAlign w:val="center"/>
                </w:tcPr>
                <w:p w14:paraId="1C94BF27">
                  <w:pPr>
                    <w:rPr>
                      <w:szCs w:val="22"/>
                      <w14:ligatures w14:val="standardContextual"/>
                    </w:rPr>
                  </w:pPr>
                  <w:r>
                    <w:rPr>
                      <w:szCs w:val="22"/>
                      <w14:ligatures w14:val="standardContextual"/>
                    </w:rPr>
                    <w:t>机身主体真空兼容性</w:t>
                  </w:r>
                </w:p>
              </w:tc>
              <w:tc>
                <w:tcPr>
                  <w:tcW w:w="1532" w:type="pct"/>
                  <w:gridSpan w:val="2"/>
                  <w:tcBorders>
                    <w:top w:val="single" w:color="7E7E7E" w:themeColor="text1" w:themeTint="80" w:sz="4" w:space="0"/>
                    <w:bottom w:val="single" w:color="7E7E7E" w:themeColor="text1" w:themeTint="80" w:sz="4" w:space="0"/>
                    <w:insideH w:val="single" w:sz="4" w:space="0"/>
                  </w:tcBorders>
                </w:tcPr>
                <w:p w14:paraId="1175F038">
                  <w:pPr>
                    <w:rPr>
                      <w:szCs w:val="22"/>
                      <w14:ligatures w14:val="standardContextual"/>
                    </w:rPr>
                  </w:pPr>
                  <w:r>
                    <w:rPr>
                      <w:szCs w:val="22"/>
                      <w14:ligatures w14:val="standardContextual"/>
                    </w:rPr>
                    <w:t>最高真空兼容度</w:t>
                  </w:r>
                </w:p>
              </w:tc>
              <w:tc>
                <w:tcPr>
                  <w:tcW w:w="1358" w:type="pct"/>
                  <w:tcBorders>
                    <w:top w:val="single" w:color="7E7E7E" w:themeColor="text1" w:themeTint="80" w:sz="4" w:space="0"/>
                    <w:bottom w:val="single" w:color="7E7E7E" w:themeColor="text1" w:themeTint="80" w:sz="4" w:space="0"/>
                    <w:insideH w:val="single" w:sz="4" w:space="0"/>
                  </w:tcBorders>
                </w:tcPr>
                <w:p w14:paraId="748D5EE5">
                  <w:pPr>
                    <w:rPr>
                      <w:szCs w:val="22"/>
                      <w14:ligatures w14:val="standardContextual"/>
                    </w:rPr>
                  </w:pPr>
                  <w:r>
                    <w:rPr>
                      <w:szCs w:val="22"/>
                      <w14:ligatures w14:val="standardContextual"/>
                    </w:rPr>
                    <w:t>≤ 1×10</w:t>
                  </w:r>
                  <w:r>
                    <w:rPr>
                      <w:szCs w:val="22"/>
                      <w:vertAlign w:val="superscript"/>
                      <w14:ligatures w14:val="standardContextual"/>
                    </w:rPr>
                    <w:t>-5</w:t>
                  </w:r>
                  <w:r>
                    <w:rPr>
                      <w:szCs w:val="22"/>
                      <w14:ligatures w14:val="standardContextual"/>
                    </w:rPr>
                    <w:t xml:space="preserve"> Pa</w:t>
                  </w:r>
                </w:p>
              </w:tc>
            </w:tr>
            <w:tr w14:paraId="37894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tcPr>
                <w:p w14:paraId="032D613C">
                  <w:pPr>
                    <w:rPr>
                      <w:b/>
                      <w:bCs/>
                      <w:color w:val="000000" w:themeColor="text1"/>
                      <w:szCs w:val="22"/>
                      <w14:textFill>
                        <w14:solidFill>
                          <w14:schemeClr w14:val="tx1"/>
                        </w14:solidFill>
                      </w14:textFill>
                      <w14:ligatures w14:val="standardContextual"/>
                    </w:rPr>
                  </w:pPr>
                  <w:r>
                    <w:rPr>
                      <w:rFonts w:hint="eastAsia"/>
                      <w:b/>
                      <w:bCs/>
                      <w:color w:val="000000" w:themeColor="text1"/>
                      <w:szCs w:val="22"/>
                      <w14:textFill>
                        <w14:solidFill>
                          <w14:schemeClr w14:val="tx1"/>
                        </w14:solidFill>
                      </w14:textFill>
                      <w14:ligatures w14:val="standardContextual"/>
                    </w:rPr>
                    <w:t>14</w:t>
                  </w:r>
                </w:p>
              </w:tc>
              <w:tc>
                <w:tcPr>
                  <w:tcW w:w="1720" w:type="pct"/>
                  <w:vAlign w:val="center"/>
                </w:tcPr>
                <w:p w14:paraId="7EF7F0F7">
                  <w:pPr>
                    <w:rPr>
                      <w:szCs w:val="22"/>
                      <w14:ligatures w14:val="standardContextual"/>
                    </w:rPr>
                  </w:pPr>
                  <w:r>
                    <w:rPr>
                      <w:szCs w:val="22"/>
                      <w14:ligatures w14:val="standardContextual"/>
                    </w:rPr>
                    <w:t>整体尺寸要求</w:t>
                  </w:r>
                  <w:r>
                    <w:rPr>
                      <w:rFonts w:hint="eastAsia"/>
                      <w:szCs w:val="22"/>
                      <w14:ligatures w14:val="standardContextual"/>
                    </w:rPr>
                    <w:t>（含电机和必要转接件的尺寸）</w:t>
                  </w:r>
                </w:p>
              </w:tc>
              <w:tc>
                <w:tcPr>
                  <w:tcW w:w="2891" w:type="pct"/>
                  <w:gridSpan w:val="3"/>
                </w:tcPr>
                <w:p w14:paraId="08E44074">
                  <w:pPr>
                    <w:rPr>
                      <w:szCs w:val="22"/>
                      <w14:ligatures w14:val="standardContextual"/>
                    </w:rPr>
                  </w:pPr>
                  <w:r>
                    <w:rPr>
                      <w:szCs w:val="22"/>
                      <w14:ligatures w14:val="standardContextual"/>
                    </w:rPr>
                    <w:t>长度&lt; 1</w:t>
                  </w:r>
                  <w:r>
                    <w:rPr>
                      <w:rFonts w:hint="eastAsia"/>
                      <w:szCs w:val="22"/>
                      <w14:ligatures w14:val="standardContextual"/>
                    </w:rPr>
                    <w:t>1</w:t>
                  </w:r>
                  <w:r>
                    <w:rPr>
                      <w:szCs w:val="22"/>
                      <w14:ligatures w14:val="standardContextual"/>
                    </w:rPr>
                    <w:t>00mm, 宽度&lt; 700mm, 高度&lt;</w:t>
                  </w:r>
                  <w:r>
                    <w:rPr>
                      <w:rFonts w:hint="eastAsia"/>
                      <w:szCs w:val="22"/>
                      <w14:ligatures w14:val="standardContextual"/>
                    </w:rPr>
                    <w:t>60</w:t>
                  </w:r>
                  <w:r>
                    <w:rPr>
                      <w:szCs w:val="22"/>
                      <w14:ligatures w14:val="standardContextual"/>
                    </w:rPr>
                    <w:t>0mm</w:t>
                  </w:r>
                </w:p>
              </w:tc>
            </w:tr>
            <w:tr w14:paraId="20B1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Borders>
                    <w:top w:val="single" w:color="7E7E7E" w:themeColor="text1" w:themeTint="80" w:sz="4" w:space="0"/>
                    <w:bottom w:val="single" w:color="7E7E7E" w:themeColor="text1" w:themeTint="80" w:sz="4" w:space="0"/>
                    <w:insideH w:val="single" w:sz="4" w:space="0"/>
                  </w:tcBorders>
                </w:tcPr>
                <w:p w14:paraId="290E3270">
                  <w:pPr>
                    <w:rPr>
                      <w:b/>
                      <w:bCs/>
                      <w:color w:val="000000" w:themeColor="text1"/>
                      <w:szCs w:val="22"/>
                      <w14:textFill>
                        <w14:solidFill>
                          <w14:schemeClr w14:val="tx1"/>
                        </w14:solidFill>
                      </w14:textFill>
                      <w14:ligatures w14:val="standardContextual"/>
                    </w:rPr>
                  </w:pPr>
                  <w:r>
                    <w:rPr>
                      <w:rFonts w:hint="eastAsia"/>
                      <w:b/>
                      <w:bCs/>
                      <w:color w:val="000000" w:themeColor="text1"/>
                      <w:szCs w:val="22"/>
                      <w14:textFill>
                        <w14:solidFill>
                          <w14:schemeClr w14:val="tx1"/>
                        </w14:solidFill>
                      </w14:textFill>
                      <w14:ligatures w14:val="standardContextual"/>
                    </w:rPr>
                    <w:t>其他要求</w:t>
                  </w:r>
                </w:p>
              </w:tc>
            </w:tr>
            <w:tr w14:paraId="43EE0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14:paraId="5BA4DAE4">
                  <w:pPr>
                    <w:rPr>
                      <w:b/>
                      <w:bCs/>
                      <w:color w:val="000000" w:themeColor="text1"/>
                      <w:szCs w:val="22"/>
                      <w14:textFill>
                        <w14:solidFill>
                          <w14:schemeClr w14:val="tx1"/>
                        </w14:solidFill>
                      </w14:textFill>
                      <w14:ligatures w14:val="standardContextual"/>
                    </w:rPr>
                  </w:pPr>
                  <w:r>
                    <w:rPr>
                      <w:b/>
                      <w:bCs/>
                      <w:color w:val="000000" w:themeColor="text1"/>
                      <w:szCs w:val="22"/>
                      <w14:textFill>
                        <w14:solidFill>
                          <w14:schemeClr w14:val="tx1"/>
                        </w14:solidFill>
                      </w14:textFill>
                      <w14:ligatures w14:val="standardContextual"/>
                    </w:rPr>
                    <w:t>1</w:t>
                  </w:r>
                  <w:r>
                    <w:rPr>
                      <w:rFonts w:hint="eastAsia"/>
                      <w:b/>
                      <w:bCs/>
                      <w:color w:val="000000" w:themeColor="text1"/>
                      <w:szCs w:val="22"/>
                      <w14:textFill>
                        <w14:solidFill>
                          <w14:schemeClr w14:val="tx1"/>
                        </w14:solidFill>
                      </w14:textFill>
                      <w14:ligatures w14:val="standardContextual"/>
                    </w:rPr>
                    <w:t>5</w:t>
                  </w:r>
                </w:p>
              </w:tc>
              <w:tc>
                <w:tcPr>
                  <w:tcW w:w="1720" w:type="pct"/>
                  <w:vAlign w:val="center"/>
                </w:tcPr>
                <w:p w14:paraId="5E6E504B">
                  <w:pPr>
                    <w:rPr>
                      <w:szCs w:val="22"/>
                      <w14:ligatures w14:val="standardContextual"/>
                    </w:rPr>
                  </w:pPr>
                  <w:r>
                    <w:rPr>
                      <w:szCs w:val="22"/>
                      <w14:ligatures w14:val="standardContextual"/>
                    </w:rPr>
                    <w:t>控制器</w:t>
                  </w:r>
                </w:p>
              </w:tc>
              <w:tc>
                <w:tcPr>
                  <w:tcW w:w="2891" w:type="pct"/>
                  <w:gridSpan w:val="3"/>
                </w:tcPr>
                <w:p w14:paraId="490B2390">
                  <w:pPr>
                    <w:rPr>
                      <w:szCs w:val="22"/>
                      <w14:ligatures w14:val="standardContextual"/>
                    </w:rPr>
                  </w:pPr>
                  <w:r>
                    <w:rPr>
                      <w:rFonts w:hint="eastAsia"/>
                      <w:szCs w:val="22"/>
                      <w14:ligatures w14:val="standardContextual"/>
                    </w:rPr>
                    <w:t>支持</w:t>
                  </w:r>
                  <w:r>
                    <w:rPr>
                      <w:szCs w:val="22"/>
                      <w14:ligatures w14:val="standardContextual"/>
                    </w:rPr>
                    <w:t>开环控制；</w:t>
                  </w:r>
                </w:p>
                <w:p w14:paraId="4B602EBE">
                  <w:pPr>
                    <w:rPr>
                      <w:szCs w:val="22"/>
                      <w14:ligatures w14:val="standardContextual"/>
                    </w:rPr>
                  </w:pPr>
                  <w:r>
                    <w:rPr>
                      <w:rFonts w:hint="eastAsia"/>
                      <w:szCs w:val="22"/>
                      <w14:ligatures w14:val="standardContextual"/>
                    </w:rPr>
                    <w:t>支持运动速度调节，最大10mm/s；</w:t>
                  </w:r>
                </w:p>
              </w:tc>
            </w:tr>
            <w:tr w14:paraId="1B4A7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tcBorders>
                    <w:top w:val="single" w:color="7E7E7E" w:themeColor="text1" w:themeTint="80" w:sz="4" w:space="0"/>
                    <w:bottom w:val="single" w:color="7E7E7E" w:themeColor="text1" w:themeTint="80" w:sz="4" w:space="0"/>
                    <w:insideH w:val="single" w:sz="4" w:space="0"/>
                  </w:tcBorders>
                  <w:vAlign w:val="center"/>
                </w:tcPr>
                <w:p w14:paraId="1E0D7581">
                  <w:pPr>
                    <w:rPr>
                      <w:b w:val="0"/>
                      <w:bCs w:val="0"/>
                      <w:color w:val="000000" w:themeColor="text1"/>
                      <w:szCs w:val="22"/>
                      <w14:textFill>
                        <w14:solidFill>
                          <w14:schemeClr w14:val="tx1"/>
                        </w14:solidFill>
                      </w14:textFill>
                      <w14:ligatures w14:val="standardContextual"/>
                    </w:rPr>
                  </w:pPr>
                  <w:r>
                    <w:rPr>
                      <w:b/>
                      <w:bCs/>
                      <w:color w:val="000000" w:themeColor="text1"/>
                      <w:szCs w:val="22"/>
                      <w14:textFill>
                        <w14:solidFill>
                          <w14:schemeClr w14:val="tx1"/>
                        </w14:solidFill>
                      </w14:textFill>
                      <w14:ligatures w14:val="standardContextual"/>
                    </w:rPr>
                    <w:t>1</w:t>
                  </w:r>
                  <w:r>
                    <w:rPr>
                      <w:rFonts w:hint="eastAsia"/>
                      <w:b/>
                      <w:bCs/>
                      <w:color w:val="000000" w:themeColor="text1"/>
                      <w:szCs w:val="22"/>
                      <w14:textFill>
                        <w14:solidFill>
                          <w14:schemeClr w14:val="tx1"/>
                        </w14:solidFill>
                      </w14:textFill>
                      <w14:ligatures w14:val="standardContextual"/>
                    </w:rPr>
                    <w:t>6</w:t>
                  </w:r>
                </w:p>
              </w:tc>
              <w:tc>
                <w:tcPr>
                  <w:tcW w:w="1720" w:type="pct"/>
                  <w:vMerge w:val="restart"/>
                  <w:tcBorders>
                    <w:top w:val="single" w:color="7E7E7E" w:themeColor="text1" w:themeTint="80" w:sz="4" w:space="0"/>
                    <w:bottom w:val="single" w:color="7E7E7E" w:themeColor="text1" w:themeTint="80" w:sz="4" w:space="0"/>
                    <w:insideH w:val="single" w:sz="4" w:space="0"/>
                  </w:tcBorders>
                  <w:vAlign w:val="center"/>
                </w:tcPr>
                <w:p w14:paraId="05618752">
                  <w:pPr>
                    <w:rPr>
                      <w:szCs w:val="22"/>
                      <w14:ligatures w14:val="standardContextual"/>
                    </w:rPr>
                  </w:pPr>
                  <w:r>
                    <w:rPr>
                      <w:rFonts w:hint="eastAsia"/>
                      <w:szCs w:val="22"/>
                      <w14:ligatures w14:val="standardContextual"/>
                    </w:rPr>
                    <w:t>限位开关</w:t>
                  </w:r>
                </w:p>
              </w:tc>
              <w:tc>
                <w:tcPr>
                  <w:tcW w:w="2891" w:type="pct"/>
                  <w:gridSpan w:val="3"/>
                  <w:tcBorders>
                    <w:top w:val="single" w:color="7E7E7E" w:themeColor="text1" w:themeTint="80" w:sz="4" w:space="0"/>
                    <w:bottom w:val="single" w:color="7E7E7E" w:themeColor="text1" w:themeTint="80" w:sz="4" w:space="0"/>
                    <w:insideH w:val="single" w:sz="4" w:space="0"/>
                  </w:tcBorders>
                </w:tcPr>
                <w:p w14:paraId="099103C6">
                  <w:pPr>
                    <w:rPr>
                      <w:szCs w:val="22"/>
                      <w14:ligatures w14:val="standardContextual"/>
                    </w:rPr>
                  </w:pPr>
                  <w:r>
                    <w:rPr>
                      <w:rFonts w:hint="eastAsia"/>
                      <w:szCs w:val="22"/>
                      <w14:ligatures w14:val="standardContextual"/>
                    </w:rPr>
                    <w:t>两台探测器之间配备至少两个机械限位</w:t>
                  </w:r>
                </w:p>
              </w:tc>
            </w:tr>
            <w:tr w14:paraId="24F2D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Pr>
                <w:p w14:paraId="12096CD4">
                  <w:pPr>
                    <w:rPr>
                      <w:b/>
                      <w:bCs/>
                      <w:color w:val="000000" w:themeColor="text1"/>
                      <w:szCs w:val="22"/>
                      <w14:textFill>
                        <w14:solidFill>
                          <w14:schemeClr w14:val="tx1"/>
                        </w14:solidFill>
                      </w14:textFill>
                      <w14:ligatures w14:val="standardContextual"/>
                    </w:rPr>
                  </w:pPr>
                </w:p>
              </w:tc>
              <w:tc>
                <w:tcPr>
                  <w:tcW w:w="1720" w:type="pct"/>
                  <w:vMerge w:val="continue"/>
                  <w:vAlign w:val="center"/>
                </w:tcPr>
                <w:p w14:paraId="0EA0B8C4">
                  <w:pPr>
                    <w:rPr>
                      <w:szCs w:val="22"/>
                      <w14:ligatures w14:val="standardContextual"/>
                    </w:rPr>
                  </w:pPr>
                </w:p>
              </w:tc>
              <w:tc>
                <w:tcPr>
                  <w:tcW w:w="2891" w:type="pct"/>
                  <w:gridSpan w:val="3"/>
                </w:tcPr>
                <w:p w14:paraId="46DCF013">
                  <w:pPr>
                    <w:rPr>
                      <w:szCs w:val="22"/>
                      <w14:ligatures w14:val="standardContextual"/>
                    </w:rPr>
                  </w:pPr>
                  <w:r>
                    <w:rPr>
                      <w:rFonts w:hint="eastAsia"/>
                      <w:szCs w:val="22"/>
                      <w14:ligatures w14:val="standardContextual"/>
                    </w:rPr>
                    <w:t>探测器与样品底座之间至少配备两个机械限位</w:t>
                  </w:r>
                </w:p>
              </w:tc>
            </w:tr>
            <w:tr w14:paraId="413FD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tcBorders>
                    <w:top w:val="single" w:color="7E7E7E" w:themeColor="text1" w:themeTint="80" w:sz="4" w:space="0"/>
                    <w:bottom w:val="single" w:color="7E7E7E" w:themeColor="text1" w:themeTint="80" w:sz="4" w:space="0"/>
                    <w:insideH w:val="single" w:sz="4" w:space="0"/>
                  </w:tcBorders>
                </w:tcPr>
                <w:p w14:paraId="142B0D9F">
                  <w:pPr>
                    <w:rPr>
                      <w:b/>
                      <w:bCs/>
                      <w:color w:val="000000" w:themeColor="text1"/>
                      <w:szCs w:val="22"/>
                      <w14:textFill>
                        <w14:solidFill>
                          <w14:schemeClr w14:val="tx1"/>
                        </w14:solidFill>
                      </w14:textFill>
                      <w14:ligatures w14:val="standardContextual"/>
                    </w:rPr>
                  </w:pPr>
                </w:p>
              </w:tc>
              <w:tc>
                <w:tcPr>
                  <w:tcW w:w="1720" w:type="pct"/>
                  <w:vMerge w:val="continue"/>
                  <w:tcBorders>
                    <w:top w:val="single" w:color="7E7E7E" w:themeColor="text1" w:themeTint="80" w:sz="4" w:space="0"/>
                    <w:bottom w:val="single" w:color="7E7E7E" w:themeColor="text1" w:themeTint="80" w:sz="4" w:space="0"/>
                    <w:insideH w:val="single" w:sz="4" w:space="0"/>
                  </w:tcBorders>
                  <w:vAlign w:val="center"/>
                </w:tcPr>
                <w:p w14:paraId="52B64F99">
                  <w:pPr>
                    <w:rPr>
                      <w:szCs w:val="22"/>
                      <w14:ligatures w14:val="standardContextual"/>
                    </w:rPr>
                  </w:pPr>
                </w:p>
              </w:tc>
              <w:tc>
                <w:tcPr>
                  <w:tcW w:w="2891" w:type="pct"/>
                  <w:gridSpan w:val="3"/>
                  <w:tcBorders>
                    <w:top w:val="single" w:color="7E7E7E" w:themeColor="text1" w:themeTint="80" w:sz="4" w:space="0"/>
                    <w:bottom w:val="single" w:color="7E7E7E" w:themeColor="text1" w:themeTint="80" w:sz="4" w:space="0"/>
                    <w:insideH w:val="single" w:sz="4" w:space="0"/>
                  </w:tcBorders>
                </w:tcPr>
                <w:p w14:paraId="37187B52">
                  <w:pPr>
                    <w:rPr>
                      <w:szCs w:val="22"/>
                      <w14:ligatures w14:val="standardContextual"/>
                    </w:rPr>
                  </w:pPr>
                  <w:r>
                    <w:rPr>
                      <w:rFonts w:hint="eastAsia"/>
                      <w:szCs w:val="22"/>
                      <w14:ligatures w14:val="standardContextual"/>
                    </w:rPr>
                    <w:t>所有运动轴内部配备机械限位开关</w:t>
                  </w:r>
                </w:p>
              </w:tc>
            </w:tr>
            <w:tr w14:paraId="5F1FB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tcPr>
                <w:p w14:paraId="484F5E5C">
                  <w:pPr>
                    <w:rPr>
                      <w:b/>
                      <w:bCs/>
                      <w:color w:val="000000" w:themeColor="text1"/>
                      <w:szCs w:val="22"/>
                      <w14:textFill>
                        <w14:solidFill>
                          <w14:schemeClr w14:val="tx1"/>
                        </w14:solidFill>
                      </w14:textFill>
                      <w14:ligatures w14:val="standardContextual"/>
                    </w:rPr>
                  </w:pPr>
                  <w:r>
                    <w:rPr>
                      <w:rFonts w:hint="eastAsia"/>
                      <w:b/>
                      <w:bCs/>
                      <w:color w:val="000000" w:themeColor="text1"/>
                      <w:szCs w:val="22"/>
                      <w14:textFill>
                        <w14:solidFill>
                          <w14:schemeClr w14:val="tx1"/>
                        </w14:solidFill>
                      </w14:textFill>
                      <w14:ligatures w14:val="standardContextual"/>
                    </w:rPr>
                    <w:t>17</w:t>
                  </w:r>
                </w:p>
              </w:tc>
              <w:tc>
                <w:tcPr>
                  <w:tcW w:w="1720" w:type="pct"/>
                  <w:vAlign w:val="center"/>
                </w:tcPr>
                <w:p w14:paraId="27E3C225">
                  <w:pPr>
                    <w:rPr>
                      <w:szCs w:val="22"/>
                      <w14:ligatures w14:val="standardContextual"/>
                    </w:rPr>
                  </w:pPr>
                  <w:r>
                    <w:rPr>
                      <w:szCs w:val="22"/>
                      <w14:ligatures w14:val="standardContextual"/>
                    </w:rPr>
                    <w:t>必要的转接件</w:t>
                  </w:r>
                </w:p>
              </w:tc>
              <w:tc>
                <w:tcPr>
                  <w:tcW w:w="2891" w:type="pct"/>
                  <w:gridSpan w:val="3"/>
                </w:tcPr>
                <w:p w14:paraId="679BCD4C">
                  <w:pPr>
                    <w:rPr>
                      <w:szCs w:val="22"/>
                      <w14:ligatures w14:val="standardContextual"/>
                    </w:rPr>
                  </w:pPr>
                  <w:r>
                    <w:rPr>
                      <w:szCs w:val="22"/>
                      <w14:ligatures w14:val="standardContextual"/>
                    </w:rPr>
                    <w:t>满足滑台固定</w:t>
                  </w:r>
                  <w:r>
                    <w:rPr>
                      <w:rFonts w:hint="eastAsia"/>
                      <w:szCs w:val="22"/>
                      <w14:ligatures w14:val="standardContextual"/>
                    </w:rPr>
                    <w:t>和转接要求；</w:t>
                  </w:r>
                </w:p>
              </w:tc>
            </w:tr>
            <w:bookmarkEnd w:id="0"/>
          </w:tbl>
          <w:p w14:paraId="4FF22473">
            <w:pPr>
              <w:tabs>
                <w:tab w:val="left" w:pos="6915"/>
              </w:tabs>
              <w:jc w:val="left"/>
              <w:rPr>
                <w:rFonts w:ascii="宋体" w:hAnsi="宋体" w:cs="宋体"/>
                <w:bCs/>
                <w:sz w:val="24"/>
              </w:rPr>
            </w:pPr>
          </w:p>
          <w:p w14:paraId="176D41E5">
            <w:pPr>
              <w:tabs>
                <w:tab w:val="left" w:pos="6915"/>
              </w:tabs>
              <w:jc w:val="left"/>
              <w:rPr>
                <w:rFonts w:ascii="宋体" w:hAnsi="宋体" w:cs="宋体"/>
                <w:bCs/>
                <w:sz w:val="24"/>
              </w:rPr>
            </w:pPr>
            <w:r>
              <w:drawing>
                <wp:inline distT="0" distB="0" distL="0" distR="0">
                  <wp:extent cx="3501390" cy="1830705"/>
                  <wp:effectExtent l="0" t="0" r="3810" b="17145"/>
                  <wp:docPr id="2147206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206006" name="图片 1"/>
                          <pic:cNvPicPr>
                            <a:picLocks noChangeAspect="1"/>
                          </pic:cNvPicPr>
                        </pic:nvPicPr>
                        <pic:blipFill>
                          <a:blip r:embed="rId4"/>
                          <a:stretch>
                            <a:fillRect/>
                          </a:stretch>
                        </pic:blipFill>
                        <pic:spPr>
                          <a:xfrm>
                            <a:off x="0" y="0"/>
                            <a:ext cx="3501390" cy="1830705"/>
                          </a:xfrm>
                          <a:prstGeom prst="rect">
                            <a:avLst/>
                          </a:prstGeom>
                        </pic:spPr>
                      </pic:pic>
                    </a:graphicData>
                  </a:graphic>
                </wp:inline>
              </w:drawing>
            </w:r>
          </w:p>
          <w:p w14:paraId="17D11CB3">
            <w:pPr>
              <w:jc w:val="center"/>
              <w:rPr>
                <w:rFonts w:ascii="宋体" w:hAnsi="宋体"/>
                <w:b/>
                <w:szCs w:val="21"/>
              </w:rPr>
            </w:pPr>
            <w:r>
              <w:rPr>
                <w:rFonts w:hint="eastAsia" w:ascii="宋体" w:hAnsi="宋体"/>
              </w:rPr>
              <w:t>图1 真空探测器位移台系统示意图</w:t>
            </w:r>
          </w:p>
          <w:p w14:paraId="28BDB62B">
            <w:pPr>
              <w:tabs>
                <w:tab w:val="left" w:pos="6915"/>
              </w:tabs>
              <w:spacing w:line="276" w:lineRule="auto"/>
              <w:rPr>
                <w:bCs/>
                <w:sz w:val="24"/>
              </w:rPr>
            </w:pPr>
          </w:p>
        </w:tc>
        <w:tc>
          <w:tcPr>
            <w:tcW w:w="1464" w:type="dxa"/>
            <w:vAlign w:val="center"/>
          </w:tcPr>
          <w:p w14:paraId="205FF5AB">
            <w:pPr>
              <w:spacing w:line="240" w:lineRule="atLeast"/>
              <w:jc w:val="center"/>
            </w:pPr>
          </w:p>
        </w:tc>
        <w:tc>
          <w:tcPr>
            <w:tcW w:w="1023"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725" w:type="dxa"/>
            <w:vAlign w:val="center"/>
          </w:tcPr>
          <w:p w14:paraId="21D5CC9B">
            <w:pPr>
              <w:spacing w:line="240" w:lineRule="atLeast"/>
              <w:jc w:val="center"/>
            </w:pPr>
            <w:r>
              <w:t>2</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743" w:type="dxa"/>
            <w:tcBorders>
              <w:top w:val="single" w:color="auto" w:sz="4" w:space="0"/>
              <w:left w:val="nil"/>
              <w:bottom w:val="single" w:color="auto" w:sz="4" w:space="0"/>
              <w:right w:val="single" w:color="auto" w:sz="4" w:space="0"/>
            </w:tcBorders>
            <w:shd w:val="clear" w:color="auto" w:fill="auto"/>
            <w:vAlign w:val="center"/>
          </w:tcPr>
          <w:p w14:paraId="3119478D">
            <w:pPr>
              <w:tabs>
                <w:tab w:val="left" w:pos="6915"/>
              </w:tabs>
              <w:rPr>
                <w:b/>
                <w:szCs w:val="21"/>
              </w:rPr>
            </w:pPr>
            <w:r>
              <w:rPr>
                <w:b/>
                <w:szCs w:val="21"/>
              </w:rPr>
              <w:t>交货期：</w:t>
            </w:r>
            <w:r>
              <w:rPr>
                <w:bCs/>
                <w:szCs w:val="21"/>
              </w:rPr>
              <w:t>10个月</w:t>
            </w:r>
          </w:p>
          <w:p w14:paraId="31DABA26">
            <w:pPr>
              <w:tabs>
                <w:tab w:val="left" w:pos="6915"/>
              </w:tabs>
              <w:rPr>
                <w:b/>
                <w:szCs w:val="21"/>
              </w:rPr>
            </w:pPr>
            <w:r>
              <w:rPr>
                <w:b/>
                <w:szCs w:val="21"/>
              </w:rPr>
              <w:t>交付进度：</w:t>
            </w:r>
            <w:r>
              <w:rPr>
                <w:bCs/>
                <w:szCs w:val="21"/>
              </w:rPr>
              <w:t>一次性交付</w:t>
            </w:r>
          </w:p>
          <w:p w14:paraId="17081AD3">
            <w:pPr>
              <w:tabs>
                <w:tab w:val="left" w:pos="6915"/>
              </w:tabs>
              <w:rPr>
                <w:bCs/>
                <w:szCs w:val="21"/>
              </w:rPr>
            </w:pPr>
            <w:r>
              <w:rPr>
                <w:b/>
                <w:szCs w:val="21"/>
              </w:rPr>
              <w:t>付款方式：</w:t>
            </w:r>
            <w:r>
              <w:rPr>
                <w:bCs/>
                <w:szCs w:val="21"/>
              </w:rPr>
              <w:t>甲方预付合同总金额的 30 %，货到甲方验收合格后支付合同总金额 70%。</w:t>
            </w:r>
          </w:p>
          <w:p w14:paraId="3364DAC1">
            <w:pPr>
              <w:tabs>
                <w:tab w:val="left" w:pos="6915"/>
              </w:tabs>
              <w:rPr>
                <w:rFonts w:ascii="宋体" w:hAnsi="宋体"/>
                <w:b/>
                <w:szCs w:val="21"/>
              </w:rPr>
            </w:pPr>
            <w:r>
              <w:rPr>
                <w:b/>
                <w:szCs w:val="21"/>
              </w:rPr>
              <w:t>验收指标及验收要求：</w:t>
            </w:r>
            <w:r>
              <w:rPr>
                <w:rFonts w:hint="eastAsia"/>
                <w:bCs/>
                <w:szCs w:val="21"/>
              </w:rPr>
              <w:t>厂家需对三维位移台的行程和精度进行出厂测试，满足上表中给出的指标要求。</w:t>
            </w:r>
          </w:p>
          <w:p w14:paraId="6D36D77A">
            <w:pPr>
              <w:tabs>
                <w:tab w:val="left" w:pos="6915"/>
              </w:tabs>
              <w:jc w:val="left"/>
              <w:rPr>
                <w:rFonts w:ascii="宋体" w:hAnsi="宋体"/>
                <w:b/>
                <w:szCs w:val="21"/>
              </w:rPr>
            </w:pPr>
            <w:r>
              <w:rPr>
                <w:rFonts w:hint="eastAsia" w:ascii="宋体" w:hAnsi="宋体"/>
                <w:b/>
                <w:szCs w:val="21"/>
              </w:rPr>
              <w:t>阶段</w:t>
            </w:r>
            <w:r>
              <w:rPr>
                <w:rFonts w:ascii="宋体" w:hAnsi="宋体"/>
                <w:b/>
                <w:szCs w:val="21"/>
              </w:rPr>
              <w:t>性检查要求</w:t>
            </w:r>
            <w:r>
              <w:rPr>
                <w:rFonts w:hint="eastAsia" w:ascii="宋体" w:hAnsi="宋体"/>
                <w:b/>
                <w:szCs w:val="21"/>
              </w:rPr>
              <w:t>：</w:t>
            </w:r>
            <w:r>
              <w:rPr>
                <w:rFonts w:hint="eastAsia" w:ascii="宋体" w:hAnsi="宋体"/>
                <w:bCs/>
                <w:szCs w:val="21"/>
              </w:rPr>
              <w:t>合同签订2个月内确认设计方案；签订10个月内进行出厂测试并提供所有文本材料。</w:t>
            </w:r>
          </w:p>
          <w:p w14:paraId="6BF551B0">
            <w:pPr>
              <w:tabs>
                <w:tab w:val="left" w:pos="6915"/>
              </w:tabs>
              <w:jc w:val="left"/>
              <w:rPr>
                <w:rFonts w:ascii="宋体" w:hAnsi="宋体"/>
                <w:b/>
                <w:szCs w:val="21"/>
              </w:rPr>
            </w:pPr>
            <w:r>
              <w:rPr>
                <w:rFonts w:hint="eastAsia" w:ascii="宋体" w:hAnsi="宋体"/>
                <w:b/>
                <w:szCs w:val="21"/>
              </w:rPr>
              <w:t>保修</w:t>
            </w:r>
            <w:r>
              <w:rPr>
                <w:rFonts w:ascii="宋体" w:hAnsi="宋体"/>
                <w:b/>
                <w:szCs w:val="21"/>
              </w:rPr>
              <w:t>及售后服务</w:t>
            </w:r>
            <w:r>
              <w:rPr>
                <w:rFonts w:hint="eastAsia" w:ascii="宋体" w:hAnsi="宋体"/>
                <w:b/>
                <w:szCs w:val="21"/>
              </w:rPr>
              <w:t>：</w:t>
            </w:r>
          </w:p>
          <w:p w14:paraId="1F811C50">
            <w:pPr>
              <w:tabs>
                <w:tab w:val="left" w:pos="6915"/>
              </w:tabs>
              <w:rPr>
                <w:bCs/>
                <w:szCs w:val="21"/>
              </w:rPr>
            </w:pPr>
            <w:r>
              <w:rPr>
                <w:rFonts w:hint="eastAsia"/>
                <w:bCs/>
                <w:szCs w:val="21"/>
              </w:rPr>
              <w:t>1. 厂家提供两年的免费保修, 保修期自仪器安装验收之日起计算。如在保修期内，需返厂维修，厂家承担所有费用，且保修期相应顺延。在保修期结束前一个月内，厂家上门进行设备整体检修。</w:t>
            </w:r>
          </w:p>
          <w:p w14:paraId="497CDAE6">
            <w:pPr>
              <w:tabs>
                <w:tab w:val="left" w:pos="6915"/>
              </w:tabs>
              <w:spacing w:line="276" w:lineRule="auto"/>
              <w:jc w:val="left"/>
              <w:rPr>
                <w:rFonts w:hint="eastAsia" w:ascii="宋体" w:hAnsi="宋体"/>
                <w:szCs w:val="21"/>
              </w:rPr>
            </w:pPr>
            <w:r>
              <w:rPr>
                <w:rFonts w:hint="eastAsia"/>
                <w:bCs/>
                <w:szCs w:val="21"/>
              </w:rPr>
              <w:t>2. 保修期内的服务由厂家负责，电话报修后 24 小时上门服务、72 小时内排除故障，如有必要尽快派出维修人员到达现场进行服务。</w:t>
            </w:r>
            <w:bookmarkStart w:id="1" w:name="_GoBack"/>
            <w:bookmarkEnd w:id="1"/>
          </w:p>
        </w:tc>
        <w:tc>
          <w:tcPr>
            <w:tcW w:w="1464" w:type="dxa"/>
            <w:vAlign w:val="center"/>
          </w:tcPr>
          <w:p w14:paraId="324B1D27">
            <w:pPr>
              <w:spacing w:line="240" w:lineRule="atLeast"/>
              <w:jc w:val="center"/>
            </w:pPr>
          </w:p>
        </w:tc>
        <w:tc>
          <w:tcPr>
            <w:tcW w:w="1023"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10C4"/>
    <w:rsid w:val="00015CB8"/>
    <w:rsid w:val="00020783"/>
    <w:rsid w:val="00050922"/>
    <w:rsid w:val="00086882"/>
    <w:rsid w:val="00090223"/>
    <w:rsid w:val="00091C8D"/>
    <w:rsid w:val="000E54CE"/>
    <w:rsid w:val="00102C13"/>
    <w:rsid w:val="00123779"/>
    <w:rsid w:val="001501D1"/>
    <w:rsid w:val="001548E0"/>
    <w:rsid w:val="00172A27"/>
    <w:rsid w:val="00180627"/>
    <w:rsid w:val="001B219D"/>
    <w:rsid w:val="001D3367"/>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668BC"/>
    <w:rsid w:val="00584F75"/>
    <w:rsid w:val="005C4758"/>
    <w:rsid w:val="005E2C0C"/>
    <w:rsid w:val="005F7E7B"/>
    <w:rsid w:val="00630F8F"/>
    <w:rsid w:val="00642AF5"/>
    <w:rsid w:val="00642CDA"/>
    <w:rsid w:val="00670B3D"/>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CE0BDA"/>
    <w:rsid w:val="00D011DC"/>
    <w:rsid w:val="00D04097"/>
    <w:rsid w:val="00D16AC0"/>
    <w:rsid w:val="00D24D09"/>
    <w:rsid w:val="00D72E1E"/>
    <w:rsid w:val="00D81354"/>
    <w:rsid w:val="00DA7BF9"/>
    <w:rsid w:val="00E00131"/>
    <w:rsid w:val="00E0215E"/>
    <w:rsid w:val="00E147A9"/>
    <w:rsid w:val="00E5012E"/>
    <w:rsid w:val="00E762FD"/>
    <w:rsid w:val="00E930C8"/>
    <w:rsid w:val="00EA412A"/>
    <w:rsid w:val="00EA6BA9"/>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93C12EB"/>
    <w:rsid w:val="128E50EE"/>
    <w:rsid w:val="2D070EC5"/>
    <w:rsid w:val="362A40E2"/>
    <w:rsid w:val="365027FD"/>
    <w:rsid w:val="468B21C7"/>
    <w:rsid w:val="46BF17AE"/>
    <w:rsid w:val="48EB0E6F"/>
    <w:rsid w:val="63E74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 w:type="table" w:customStyle="1" w:styleId="12">
    <w:name w:val="Plain Table 2"/>
    <w:basedOn w:val="5"/>
    <w:qFormat/>
    <w:uiPriority w:val="42"/>
    <w:rPr>
      <w:kern w:val="2"/>
      <w:sz w:val="22"/>
      <w:szCs w:val="24"/>
      <w14:ligatures w14:val="standardContextual"/>
    </w:r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430</Words>
  <Characters>486</Characters>
  <Lines>6</Lines>
  <Paragraphs>1</Paragraphs>
  <TotalTime>0</TotalTime>
  <ScaleCrop>false</ScaleCrop>
  <LinksUpToDate>false</LinksUpToDate>
  <CharactersWithSpaces>523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2025-12-30T03:14:06Z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eyJoZGlkIjoiN2RlYWI4ZWUzNTBhNTYxZTE1ZDI0ZDliNjg4YTQ3ZjIiLCJ1c2VySWQiOiIxNzc0OTA2Mjk1In0=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