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F42D7">
      <w:pPr>
        <w:jc w:val="center"/>
        <w:rPr>
          <w:sz w:val="36"/>
        </w:rPr>
      </w:pPr>
      <w:r>
        <w:rPr>
          <w:sz w:val="36"/>
        </w:rPr>
        <w:t>中国科学技术大学国家同步辐射实验室</w:t>
      </w:r>
    </w:p>
    <w:p w14:paraId="71ADF21F">
      <w:pPr>
        <w:jc w:val="center"/>
        <w:rPr>
          <w:sz w:val="36"/>
        </w:rPr>
      </w:pPr>
      <w:bookmarkStart w:id="0" w:name="_GoBack"/>
      <w:r>
        <w:rPr>
          <w:rFonts w:hint="eastAsia"/>
          <w:sz w:val="36"/>
        </w:rPr>
        <w:t>技术指标供应商确认表</w:t>
      </w:r>
      <w:bookmarkEnd w:id="0"/>
    </w:p>
    <w:p w14:paraId="50584A57"/>
    <w:tbl>
      <w:tblPr>
        <w:tblStyle w:val="3"/>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561"/>
        <w:gridCol w:w="5322"/>
        <w:gridCol w:w="1201"/>
        <w:gridCol w:w="992"/>
      </w:tblGrid>
      <w:tr w14:paraId="20C6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3E29496F">
            <w:pPr>
              <w:spacing w:line="240" w:lineRule="atLeast"/>
              <w:jc w:val="center"/>
              <w:rPr>
                <w:sz w:val="24"/>
                <w:szCs w:val="24"/>
              </w:rPr>
            </w:pPr>
            <w:r>
              <w:rPr>
                <w:rFonts w:hint="eastAsia"/>
                <w:sz w:val="24"/>
                <w:szCs w:val="24"/>
              </w:rPr>
              <w:t>序号</w:t>
            </w:r>
          </w:p>
        </w:tc>
        <w:tc>
          <w:tcPr>
            <w:tcW w:w="1561" w:type="dxa"/>
            <w:vAlign w:val="center"/>
          </w:tcPr>
          <w:p w14:paraId="467D4662">
            <w:pPr>
              <w:spacing w:line="240" w:lineRule="atLeast"/>
              <w:jc w:val="center"/>
              <w:rPr>
                <w:sz w:val="24"/>
                <w:szCs w:val="24"/>
              </w:rPr>
            </w:pPr>
            <w:r>
              <w:rPr>
                <w:rFonts w:hint="eastAsia"/>
                <w:sz w:val="24"/>
                <w:szCs w:val="24"/>
              </w:rPr>
              <w:t>名称</w:t>
            </w:r>
          </w:p>
        </w:tc>
        <w:tc>
          <w:tcPr>
            <w:tcW w:w="5322" w:type="dxa"/>
            <w:vAlign w:val="center"/>
          </w:tcPr>
          <w:p w14:paraId="0B99A1E1">
            <w:pPr>
              <w:spacing w:line="240" w:lineRule="atLeast"/>
              <w:jc w:val="center"/>
              <w:rPr>
                <w:sz w:val="24"/>
                <w:szCs w:val="24"/>
              </w:rPr>
            </w:pPr>
            <w:r>
              <w:rPr>
                <w:rFonts w:hint="eastAsia"/>
                <w:sz w:val="24"/>
                <w:szCs w:val="24"/>
              </w:rPr>
              <w:t>技术指标</w:t>
            </w:r>
          </w:p>
        </w:tc>
        <w:tc>
          <w:tcPr>
            <w:tcW w:w="1201" w:type="dxa"/>
            <w:vAlign w:val="center"/>
          </w:tcPr>
          <w:p w14:paraId="78A93726">
            <w:pPr>
              <w:spacing w:line="240" w:lineRule="atLeast"/>
              <w:jc w:val="center"/>
              <w:rPr>
                <w:sz w:val="24"/>
                <w:szCs w:val="24"/>
              </w:rPr>
            </w:pPr>
            <w:r>
              <w:rPr>
                <w:rFonts w:hint="eastAsia"/>
                <w:sz w:val="24"/>
                <w:szCs w:val="24"/>
              </w:rPr>
              <w:t>偏离说明</w:t>
            </w:r>
          </w:p>
          <w:p w14:paraId="529022B5">
            <w:pPr>
              <w:spacing w:line="240" w:lineRule="atLeast"/>
              <w:jc w:val="center"/>
              <w:rPr>
                <w:sz w:val="24"/>
                <w:szCs w:val="24"/>
              </w:rPr>
            </w:pPr>
            <w:r>
              <w:rPr>
                <w:rFonts w:hint="eastAsia"/>
                <w:sz w:val="24"/>
                <w:szCs w:val="24"/>
              </w:rPr>
              <w:t>(</w:t>
            </w:r>
            <w:r>
              <w:rPr>
                <w:sz w:val="24"/>
                <w:szCs w:val="24"/>
              </w:rPr>
              <w:t>无偏离</w:t>
            </w:r>
            <w:r>
              <w:rPr>
                <w:rFonts w:hint="eastAsia"/>
                <w:sz w:val="24"/>
                <w:szCs w:val="24"/>
              </w:rPr>
              <w:t>/</w:t>
            </w:r>
            <w:r>
              <w:rPr>
                <w:sz w:val="24"/>
                <w:szCs w:val="24"/>
              </w:rPr>
              <w:t>正偏离</w:t>
            </w:r>
            <w:r>
              <w:rPr>
                <w:rFonts w:hint="eastAsia"/>
                <w:sz w:val="24"/>
                <w:szCs w:val="24"/>
              </w:rPr>
              <w:t>/</w:t>
            </w:r>
            <w:r>
              <w:rPr>
                <w:sz w:val="24"/>
                <w:szCs w:val="24"/>
              </w:rPr>
              <w:t>负偏离</w:t>
            </w:r>
            <w:r>
              <w:rPr>
                <w:rFonts w:hint="eastAsia"/>
                <w:sz w:val="24"/>
                <w:szCs w:val="24"/>
              </w:rPr>
              <w:t>)</w:t>
            </w:r>
          </w:p>
        </w:tc>
        <w:tc>
          <w:tcPr>
            <w:tcW w:w="992" w:type="dxa"/>
            <w:vAlign w:val="center"/>
          </w:tcPr>
          <w:p w14:paraId="744AE6C5">
            <w:pPr>
              <w:spacing w:line="240" w:lineRule="atLeast"/>
              <w:jc w:val="center"/>
              <w:rPr>
                <w:sz w:val="24"/>
                <w:szCs w:val="24"/>
              </w:rPr>
            </w:pPr>
            <w:r>
              <w:rPr>
                <w:rFonts w:hint="eastAsia"/>
                <w:sz w:val="24"/>
                <w:szCs w:val="24"/>
              </w:rPr>
              <w:t>偏离值</w:t>
            </w:r>
          </w:p>
        </w:tc>
      </w:tr>
      <w:tr w14:paraId="6C2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05" w:type="dxa"/>
            <w:vAlign w:val="center"/>
          </w:tcPr>
          <w:p w14:paraId="6B5478EA">
            <w:pPr>
              <w:spacing w:line="240" w:lineRule="atLeast"/>
              <w:jc w:val="center"/>
              <w:rPr>
                <w:sz w:val="24"/>
                <w:szCs w:val="24"/>
              </w:rPr>
            </w:pPr>
            <w:r>
              <w:rPr>
                <w:rFonts w:hint="eastAsia"/>
                <w:sz w:val="24"/>
                <w:szCs w:val="24"/>
              </w:rPr>
              <w:t>1</w:t>
            </w:r>
          </w:p>
        </w:tc>
        <w:tc>
          <w:tcPr>
            <w:tcW w:w="1561" w:type="dxa"/>
            <w:tcBorders>
              <w:top w:val="single" w:color="auto" w:sz="4" w:space="0"/>
              <w:left w:val="single" w:color="auto" w:sz="4" w:space="0"/>
              <w:right w:val="single" w:color="auto" w:sz="4" w:space="0"/>
            </w:tcBorders>
            <w:shd w:val="clear" w:color="auto" w:fill="auto"/>
            <w:vAlign w:val="center"/>
          </w:tcPr>
          <w:p w14:paraId="72D7432B">
            <w:pPr>
              <w:keepNext w:val="0"/>
              <w:keepLines w:val="0"/>
              <w:pageBreakBefore w:val="0"/>
              <w:widowControl w:val="0"/>
              <w:tabs>
                <w:tab w:val="left" w:pos="6915"/>
              </w:tabs>
              <w:kinsoku/>
              <w:wordWrap/>
              <w:overflowPunct w:val="0"/>
              <w:topLinePunct w:val="0"/>
              <w:autoSpaceDE/>
              <w:autoSpaceDN/>
              <w:bidi w:val="0"/>
              <w:adjustRightInd w:val="0"/>
              <w:snapToGrid w:val="0"/>
              <w:spacing w:line="264" w:lineRule="auto"/>
              <w:jc w:val="center"/>
              <w:textAlignment w:val="auto"/>
              <w:rPr>
                <w:rFonts w:hint="default" w:eastAsiaTheme="minorEastAsia"/>
                <w:sz w:val="24"/>
                <w:szCs w:val="24"/>
                <w:lang w:val="en-US" w:eastAsia="zh-CN"/>
              </w:rPr>
            </w:pPr>
            <w:r>
              <w:rPr>
                <w:rFonts w:hint="eastAsia" w:ascii="Times New Roman" w:hAnsi="Times New Roman" w:eastAsia="宋体" w:cs="Times New Roman"/>
                <w:b w:val="0"/>
                <w:bCs w:val="0"/>
                <w:sz w:val="24"/>
                <w:szCs w:val="24"/>
                <w:shd w:val="clear" w:color="auto" w:fill="FFFFFF"/>
                <w:lang w:val="en-US" w:eastAsia="zh-CN"/>
              </w:rPr>
              <w:t>真空等离子体清洗机</w:t>
            </w:r>
            <w:r>
              <w:rPr>
                <w:rFonts w:hint="eastAsia" w:asciiTheme="minorEastAsia" w:hAnsiTheme="minorEastAsia" w:eastAsiaTheme="minorEastAsia"/>
                <w:bCs/>
                <w:sz w:val="24"/>
                <w:szCs w:val="24"/>
              </w:rPr>
              <w:br w:type="textWrapping"/>
            </w:r>
          </w:p>
        </w:tc>
        <w:tc>
          <w:tcPr>
            <w:tcW w:w="5322" w:type="dxa"/>
            <w:vAlign w:val="center"/>
          </w:tcPr>
          <w:p w14:paraId="4FF22473">
            <w:pPr>
              <w:tabs>
                <w:tab w:val="left" w:pos="6915"/>
              </w:tabs>
              <w:spacing w:line="240" w:lineRule="auto"/>
              <w:jc w:val="both"/>
              <w:rPr>
                <w:rFonts w:ascii="宋体" w:hAnsi="宋体" w:cs="宋体"/>
                <w:bCs/>
                <w:sz w:val="24"/>
                <w:szCs w:val="24"/>
              </w:rPr>
            </w:pPr>
            <w:r>
              <w:rPr>
                <w:rFonts w:hint="eastAsia" w:ascii="宋体" w:hAnsi="宋体" w:cs="宋体"/>
                <w:bCs/>
                <w:sz w:val="24"/>
                <w:szCs w:val="24"/>
              </w:rPr>
              <w:t>该</w:t>
            </w:r>
            <w:r>
              <w:rPr>
                <w:rFonts w:ascii="宋体" w:hAnsi="宋体" w:cs="宋体"/>
                <w:bCs/>
                <w:sz w:val="24"/>
                <w:szCs w:val="24"/>
              </w:rPr>
              <w:t>真空等离子体清洗机</w:t>
            </w:r>
            <w:r>
              <w:rPr>
                <w:rFonts w:hint="eastAsia" w:ascii="宋体" w:hAnsi="宋体" w:cs="宋体"/>
                <w:bCs/>
                <w:sz w:val="24"/>
                <w:szCs w:val="24"/>
              </w:rPr>
              <w:t>放置于洁净室中，用于光刻掩模与半导体衬底的材料表面有机物清洗、活化改性，需要其</w:t>
            </w:r>
            <w:r>
              <w:rPr>
                <w:rFonts w:ascii="宋体" w:hAnsi="宋体" w:cs="宋体"/>
                <w:bCs/>
                <w:sz w:val="24"/>
                <w:szCs w:val="24"/>
              </w:rPr>
              <w:t>性能稳定、操作便捷</w:t>
            </w:r>
            <w:r>
              <w:rPr>
                <w:rFonts w:hint="eastAsia" w:ascii="宋体" w:hAnsi="宋体" w:cs="宋体"/>
                <w:bCs/>
                <w:sz w:val="24"/>
                <w:szCs w:val="24"/>
              </w:rPr>
              <w:t>。要求交付的产品为一套可实现对真空腔体内样品进行气态等离子清洗的系统，包含配置无油干式真空泵和耐蚀金属真空腔体的真空系统、射频等离子发生器、2路供气接口以及完整的控制系统，其中控制系统应涵盖基于人机交互技术实现参数控制的所需软硬件、电源适配器与其他必备配件。</w:t>
            </w:r>
          </w:p>
          <w:p w14:paraId="4992EABD">
            <w:pPr>
              <w:tabs>
                <w:tab w:val="left" w:pos="6915"/>
              </w:tabs>
              <w:spacing w:line="240" w:lineRule="auto"/>
              <w:ind w:firstLine="480" w:firstLineChars="200"/>
              <w:jc w:val="both"/>
              <w:rPr>
                <w:rFonts w:ascii="宋体" w:hAnsi="宋体" w:cs="宋体"/>
                <w:bCs/>
                <w:sz w:val="24"/>
                <w:szCs w:val="24"/>
              </w:rPr>
            </w:pPr>
            <w:r>
              <w:rPr>
                <w:rFonts w:hint="eastAsia" w:ascii="宋体" w:hAnsi="宋体" w:cs="宋体"/>
                <w:bCs/>
                <w:sz w:val="24"/>
                <w:szCs w:val="24"/>
              </w:rPr>
              <w:t>由于对仪器安全和工作效果有较高需求，因此必须明确：</w:t>
            </w:r>
          </w:p>
          <w:p w14:paraId="72867515">
            <w:pPr>
              <w:pStyle w:val="5"/>
              <w:numPr>
                <w:ilvl w:val="0"/>
                <w:numId w:val="0"/>
              </w:numPr>
              <w:tabs>
                <w:tab w:val="left" w:pos="6915"/>
              </w:tabs>
              <w:spacing w:line="240" w:lineRule="auto"/>
              <w:jc w:val="both"/>
              <w:rPr>
                <w:rFonts w:ascii="宋体" w:hAnsi="宋体" w:cs="宋体"/>
                <w:bCs/>
                <w:sz w:val="24"/>
                <w:szCs w:val="24"/>
              </w:rPr>
            </w:pPr>
            <w:r>
              <w:rPr>
                <w:rFonts w:hint="eastAsia" w:ascii="宋体" w:hAnsi="宋体" w:cs="宋体"/>
                <w:bCs/>
                <w:sz w:val="24"/>
                <w:szCs w:val="24"/>
                <w:lang w:val="en-US" w:eastAsia="zh-CN"/>
              </w:rPr>
              <w:t>1、</w:t>
            </w:r>
            <w:r>
              <w:rPr>
                <w:rFonts w:hint="eastAsia" w:ascii="宋体" w:hAnsi="宋体" w:cs="宋体"/>
                <w:bCs/>
                <w:sz w:val="24"/>
                <w:szCs w:val="24"/>
              </w:rPr>
              <w:t>仪器腔体工作极限真空度小于10Pa，腔体材质应为不锈钢或耐蚀铝合金，同时配置有观察窗以便实时观察腔内状态；</w:t>
            </w:r>
          </w:p>
          <w:p w14:paraId="61E38BF2">
            <w:pPr>
              <w:pStyle w:val="5"/>
              <w:numPr>
                <w:ilvl w:val="0"/>
                <w:numId w:val="0"/>
              </w:numPr>
              <w:tabs>
                <w:tab w:val="left" w:pos="6915"/>
              </w:tabs>
              <w:spacing w:line="240" w:lineRule="auto"/>
              <w:jc w:val="both"/>
              <w:rPr>
                <w:rFonts w:ascii="宋体" w:hAnsi="宋体" w:cs="宋体"/>
                <w:bCs/>
                <w:sz w:val="24"/>
                <w:szCs w:val="24"/>
              </w:rPr>
            </w:pPr>
            <w:r>
              <w:rPr>
                <w:rFonts w:hint="eastAsia" w:ascii="宋体" w:hAnsi="宋体" w:cs="宋体"/>
                <w:bCs/>
                <w:sz w:val="24"/>
                <w:szCs w:val="24"/>
                <w:lang w:val="en-US" w:eastAsia="zh-CN"/>
              </w:rPr>
              <w:t>2、</w:t>
            </w:r>
            <w:r>
              <w:rPr>
                <w:rFonts w:hint="eastAsia" w:ascii="宋体" w:hAnsi="宋体" w:cs="宋体"/>
                <w:bCs/>
                <w:sz w:val="24"/>
                <w:szCs w:val="24"/>
              </w:rPr>
              <w:t>射频等离子发生器工作频率应为13.56mHz，功率持续可调范围至少包括0-300W；</w:t>
            </w:r>
          </w:p>
          <w:p w14:paraId="185ADC8E">
            <w:pPr>
              <w:pStyle w:val="5"/>
              <w:numPr>
                <w:ilvl w:val="0"/>
                <w:numId w:val="0"/>
              </w:numPr>
              <w:tabs>
                <w:tab w:val="left" w:pos="6915"/>
              </w:tabs>
              <w:spacing w:line="240" w:lineRule="auto"/>
              <w:jc w:val="both"/>
              <w:rPr>
                <w:rFonts w:ascii="宋体" w:hAnsi="宋体" w:cs="宋体"/>
                <w:bCs/>
                <w:sz w:val="24"/>
                <w:szCs w:val="24"/>
              </w:rPr>
            </w:pPr>
            <w:r>
              <w:rPr>
                <w:rFonts w:hint="eastAsia" w:ascii="宋体" w:hAnsi="宋体" w:cs="宋体"/>
                <w:bCs/>
                <w:sz w:val="24"/>
                <w:szCs w:val="24"/>
                <w:lang w:val="en-US" w:eastAsia="zh-CN"/>
              </w:rPr>
              <w:t>3、</w:t>
            </w:r>
            <w:r>
              <w:rPr>
                <w:rFonts w:hint="eastAsia" w:ascii="宋体" w:hAnsi="宋体" w:cs="宋体"/>
                <w:bCs/>
                <w:sz w:val="24"/>
                <w:szCs w:val="24"/>
              </w:rPr>
              <w:t>工作气体流量控制应使用</w:t>
            </w:r>
            <w:r>
              <w:rPr>
                <w:rFonts w:ascii="宋体" w:hAnsi="宋体" w:cs="宋体"/>
                <w:bCs/>
                <w:sz w:val="24"/>
                <w:szCs w:val="24"/>
              </w:rPr>
              <w:t>质量流量控制器</w:t>
            </w:r>
            <w:r>
              <w:rPr>
                <w:rFonts w:hint="eastAsia" w:ascii="宋体" w:hAnsi="宋体" w:cs="宋体"/>
                <w:bCs/>
                <w:sz w:val="24"/>
                <w:szCs w:val="24"/>
              </w:rPr>
              <w:t>（MFC）以保证流量控制稳定性与精准度，流量控制可调范围至少包含0-300sccm；</w:t>
            </w:r>
          </w:p>
          <w:p w14:paraId="266073B1">
            <w:pPr>
              <w:pStyle w:val="5"/>
              <w:numPr>
                <w:ilvl w:val="0"/>
                <w:numId w:val="0"/>
              </w:numPr>
              <w:tabs>
                <w:tab w:val="left" w:pos="6915"/>
              </w:tabs>
              <w:spacing w:line="240" w:lineRule="auto"/>
              <w:jc w:val="both"/>
              <w:rPr>
                <w:rFonts w:ascii="宋体" w:hAnsi="宋体" w:cs="宋体"/>
                <w:bCs/>
                <w:sz w:val="24"/>
                <w:szCs w:val="24"/>
              </w:rPr>
            </w:pPr>
            <w:r>
              <w:rPr>
                <w:rFonts w:hint="eastAsia" w:ascii="宋体" w:hAnsi="宋体" w:cs="宋体"/>
                <w:bCs/>
                <w:sz w:val="24"/>
                <w:szCs w:val="24"/>
                <w:lang w:val="en-US" w:eastAsia="zh-CN"/>
              </w:rPr>
              <w:t>4、</w:t>
            </w:r>
            <w:r>
              <w:rPr>
                <w:rFonts w:hint="eastAsia" w:ascii="宋体" w:hAnsi="宋体" w:cs="宋体"/>
                <w:bCs/>
                <w:sz w:val="24"/>
                <w:szCs w:val="24"/>
              </w:rPr>
              <w:t>仪器可支持氧气、氩气、氮气等常用去光刻胶工艺气体工作；</w:t>
            </w:r>
          </w:p>
          <w:p w14:paraId="116298E0">
            <w:pPr>
              <w:pStyle w:val="5"/>
              <w:numPr>
                <w:ilvl w:val="0"/>
                <w:numId w:val="0"/>
              </w:numPr>
              <w:tabs>
                <w:tab w:val="left" w:pos="6915"/>
              </w:tabs>
              <w:spacing w:line="240" w:lineRule="auto"/>
              <w:jc w:val="both"/>
              <w:rPr>
                <w:rFonts w:ascii="宋体" w:hAnsi="宋体" w:cs="宋体"/>
                <w:bCs/>
                <w:sz w:val="24"/>
                <w:szCs w:val="24"/>
              </w:rPr>
            </w:pPr>
            <w:r>
              <w:rPr>
                <w:rFonts w:hint="eastAsia" w:ascii="宋体" w:hAnsi="宋体" w:cs="宋体"/>
                <w:bCs/>
                <w:sz w:val="24"/>
                <w:szCs w:val="24"/>
                <w:lang w:val="en-US" w:eastAsia="zh-CN"/>
              </w:rPr>
              <w:t>5、</w:t>
            </w:r>
            <w:r>
              <w:rPr>
                <w:rFonts w:hint="eastAsia" w:ascii="宋体" w:hAnsi="宋体" w:cs="宋体"/>
                <w:bCs/>
                <w:sz w:val="24"/>
                <w:szCs w:val="24"/>
              </w:rPr>
              <w:t>仪器配置真空泵应为无油干式涡旋泵，杜绝油气通过真空管道污染样品；</w:t>
            </w:r>
          </w:p>
          <w:p w14:paraId="3B5C37DF">
            <w:pPr>
              <w:pStyle w:val="5"/>
              <w:numPr>
                <w:ilvl w:val="0"/>
                <w:numId w:val="0"/>
              </w:numPr>
              <w:spacing w:line="240" w:lineRule="auto"/>
              <w:jc w:val="both"/>
              <w:rPr>
                <w:rFonts w:ascii="宋体" w:hAnsi="宋体" w:cs="宋体"/>
                <w:bCs/>
                <w:sz w:val="24"/>
                <w:szCs w:val="24"/>
              </w:rPr>
            </w:pPr>
            <w:r>
              <w:rPr>
                <w:rFonts w:hint="eastAsia" w:ascii="宋体" w:hAnsi="宋体" w:cs="宋体"/>
                <w:bCs/>
                <w:sz w:val="24"/>
                <w:szCs w:val="24"/>
                <w:lang w:val="en-US" w:eastAsia="zh-CN"/>
              </w:rPr>
              <w:t>6、</w:t>
            </w:r>
            <w:r>
              <w:rPr>
                <w:rFonts w:ascii="宋体" w:hAnsi="宋体" w:cs="宋体"/>
                <w:bCs/>
                <w:sz w:val="24"/>
                <w:szCs w:val="24"/>
              </w:rPr>
              <w:t>设备应具备过载保护、短路保护等完善的安全防护功能</w:t>
            </w:r>
            <w:r>
              <w:rPr>
                <w:rFonts w:hint="eastAsia" w:ascii="宋体" w:hAnsi="宋体" w:cs="宋体"/>
                <w:bCs/>
                <w:sz w:val="24"/>
                <w:szCs w:val="24"/>
              </w:rPr>
              <w:t>。</w:t>
            </w:r>
          </w:p>
          <w:p w14:paraId="333A3836">
            <w:pPr>
              <w:tabs>
                <w:tab w:val="left" w:pos="6915"/>
              </w:tabs>
              <w:jc w:val="center"/>
              <w:rPr>
                <w:rFonts w:ascii="宋体" w:hAnsi="宋体" w:cs="宋体"/>
                <w:bCs/>
                <w:sz w:val="24"/>
                <w:szCs w:val="24"/>
              </w:rPr>
            </w:pPr>
            <w:r>
              <w:rPr>
                <w:rFonts w:hint="eastAsia" w:ascii="宋体" w:hAnsi="宋体" w:cs="宋体"/>
                <w:bCs/>
                <w:sz w:val="24"/>
                <w:szCs w:val="24"/>
              </w:rPr>
              <w:t>详细的仪器技术参数与配置要求列在下方表1中。</w:t>
            </w:r>
            <w:r>
              <w:rPr>
                <w:rFonts w:hint="eastAsia" w:ascii="宋体" w:hAnsi="宋体" w:cs="宋体"/>
                <w:bCs/>
                <w:sz w:val="24"/>
                <w:szCs w:val="24"/>
              </w:rPr>
              <w:br w:type="textWrapping"/>
            </w:r>
            <w:r>
              <w:rPr>
                <w:rFonts w:hint="eastAsia"/>
                <w:b/>
                <w:bCs w:val="0"/>
                <w:sz w:val="24"/>
              </w:rPr>
              <w:t>表1</w:t>
            </w:r>
            <w:r>
              <w:rPr>
                <w:rFonts w:ascii="宋体" w:hAnsi="宋体" w:cs="宋体"/>
                <w:b/>
                <w:bCs w:val="0"/>
                <w:sz w:val="24"/>
              </w:rPr>
              <w:t>真空等离子体清洗机技术参数与配置</w:t>
            </w:r>
            <w:r>
              <w:rPr>
                <w:rFonts w:hint="eastAsia" w:ascii="宋体" w:hAnsi="宋体" w:cs="宋体"/>
                <w:b/>
                <w:bCs w:val="0"/>
                <w:sz w:val="24"/>
              </w:rPr>
              <w:t>要求</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2"/>
              <w:gridCol w:w="2993"/>
            </w:tblGrid>
            <w:tr w14:paraId="1D6A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1F735BB4">
                  <w:pPr>
                    <w:tabs>
                      <w:tab w:val="left" w:pos="6915"/>
                    </w:tabs>
                    <w:jc w:val="center"/>
                    <w:rPr>
                      <w:rFonts w:ascii="宋体" w:hAnsi="宋体" w:cs="宋体"/>
                      <w:b/>
                      <w:sz w:val="22"/>
                      <w:szCs w:val="22"/>
                    </w:rPr>
                  </w:pPr>
                  <w:r>
                    <w:rPr>
                      <w:rFonts w:hint="eastAsia" w:ascii="宋体" w:hAnsi="宋体" w:cs="宋体"/>
                      <w:b/>
                      <w:sz w:val="22"/>
                      <w:szCs w:val="22"/>
                    </w:rPr>
                    <w:t>参数名称</w:t>
                  </w:r>
                </w:p>
              </w:tc>
              <w:tc>
                <w:tcPr>
                  <w:tcW w:w="2937" w:type="pct"/>
                  <w:vAlign w:val="center"/>
                </w:tcPr>
                <w:p w14:paraId="2791BF77">
                  <w:pPr>
                    <w:tabs>
                      <w:tab w:val="left" w:pos="6915"/>
                    </w:tabs>
                    <w:jc w:val="center"/>
                    <w:rPr>
                      <w:rFonts w:ascii="宋体" w:hAnsi="宋体" w:cs="宋体"/>
                      <w:b/>
                      <w:sz w:val="22"/>
                      <w:szCs w:val="22"/>
                    </w:rPr>
                  </w:pPr>
                  <w:r>
                    <w:rPr>
                      <w:rFonts w:hint="eastAsia" w:ascii="宋体" w:hAnsi="宋体" w:cs="宋体"/>
                      <w:b/>
                      <w:sz w:val="22"/>
                      <w:szCs w:val="22"/>
                    </w:rPr>
                    <w:t>指标</w:t>
                  </w:r>
                </w:p>
              </w:tc>
            </w:tr>
            <w:tr w14:paraId="09CD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2CC9CEEF">
                  <w:pPr>
                    <w:tabs>
                      <w:tab w:val="left" w:pos="6915"/>
                    </w:tabs>
                    <w:jc w:val="center"/>
                    <w:rPr>
                      <w:rFonts w:ascii="宋体" w:hAnsi="宋体" w:cs="宋体"/>
                      <w:bCs/>
                      <w:sz w:val="22"/>
                      <w:szCs w:val="22"/>
                    </w:rPr>
                  </w:pPr>
                  <w:r>
                    <w:rPr>
                      <w:rFonts w:ascii="宋体" w:hAnsi="宋体" w:cs="宋体"/>
                      <w:bCs/>
                      <w:sz w:val="22"/>
                      <w:szCs w:val="22"/>
                    </w:rPr>
                    <w:t>仪器总尺寸</w:t>
                  </w:r>
                </w:p>
              </w:tc>
              <w:tc>
                <w:tcPr>
                  <w:tcW w:w="2937" w:type="pct"/>
                  <w:vAlign w:val="center"/>
                </w:tcPr>
                <w:p w14:paraId="551460AB">
                  <w:pPr>
                    <w:tabs>
                      <w:tab w:val="left" w:pos="6915"/>
                    </w:tabs>
                    <w:jc w:val="center"/>
                    <w:rPr>
                      <w:rFonts w:ascii="宋体" w:hAnsi="宋体" w:cs="宋体"/>
                      <w:bCs/>
                      <w:sz w:val="22"/>
                      <w:szCs w:val="22"/>
                    </w:rPr>
                  </w:pPr>
                  <w:r>
                    <w:rPr>
                      <w:rFonts w:ascii="宋体" w:hAnsi="宋体" w:cs="宋体"/>
                      <w:bCs/>
                      <w:sz w:val="22"/>
                      <w:szCs w:val="22"/>
                    </w:rPr>
                    <w:t>不超过700mm（长）x 700mm（宽）x 600mm（高）</w:t>
                  </w:r>
                </w:p>
              </w:tc>
            </w:tr>
            <w:tr w14:paraId="21CE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274E750A">
                  <w:pPr>
                    <w:tabs>
                      <w:tab w:val="left" w:pos="6915"/>
                    </w:tabs>
                    <w:jc w:val="center"/>
                    <w:rPr>
                      <w:rFonts w:ascii="宋体" w:hAnsi="宋体" w:cs="宋体"/>
                      <w:bCs/>
                      <w:sz w:val="22"/>
                      <w:szCs w:val="22"/>
                    </w:rPr>
                  </w:pPr>
                  <w:r>
                    <w:rPr>
                      <w:rFonts w:hint="eastAsia" w:ascii="宋体" w:hAnsi="宋体" w:cs="宋体"/>
                      <w:bCs/>
                      <w:sz w:val="22"/>
                      <w:szCs w:val="22"/>
                    </w:rPr>
                    <w:t>工作腔体形状</w:t>
                  </w:r>
                </w:p>
              </w:tc>
              <w:tc>
                <w:tcPr>
                  <w:tcW w:w="2937" w:type="pct"/>
                  <w:vAlign w:val="center"/>
                </w:tcPr>
                <w:p w14:paraId="07ECC858">
                  <w:pPr>
                    <w:tabs>
                      <w:tab w:val="left" w:pos="6915"/>
                    </w:tabs>
                    <w:jc w:val="center"/>
                    <w:rPr>
                      <w:rFonts w:ascii="宋体" w:hAnsi="宋体" w:cs="宋体"/>
                      <w:bCs/>
                      <w:sz w:val="22"/>
                      <w:szCs w:val="22"/>
                    </w:rPr>
                  </w:pPr>
                  <w:r>
                    <w:rPr>
                      <w:rFonts w:hint="eastAsia" w:ascii="宋体" w:hAnsi="宋体" w:cs="宋体"/>
                      <w:bCs/>
                      <w:sz w:val="22"/>
                      <w:szCs w:val="22"/>
                    </w:rPr>
                    <w:t>立方体</w:t>
                  </w:r>
                </w:p>
              </w:tc>
            </w:tr>
            <w:tr w14:paraId="042D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0ACE5157">
                  <w:pPr>
                    <w:tabs>
                      <w:tab w:val="left" w:pos="6915"/>
                    </w:tabs>
                    <w:jc w:val="center"/>
                    <w:rPr>
                      <w:rFonts w:ascii="宋体" w:hAnsi="宋体" w:cs="宋体"/>
                      <w:bCs/>
                      <w:sz w:val="22"/>
                      <w:szCs w:val="22"/>
                    </w:rPr>
                  </w:pPr>
                  <w:r>
                    <w:rPr>
                      <w:rFonts w:hint="eastAsia" w:ascii="宋体" w:hAnsi="宋体" w:cs="宋体"/>
                      <w:bCs/>
                      <w:sz w:val="22"/>
                      <w:szCs w:val="22"/>
                    </w:rPr>
                    <w:t>工作腔体材质</w:t>
                  </w:r>
                </w:p>
              </w:tc>
              <w:tc>
                <w:tcPr>
                  <w:tcW w:w="2937" w:type="pct"/>
                  <w:vAlign w:val="center"/>
                </w:tcPr>
                <w:p w14:paraId="281336E5">
                  <w:pPr>
                    <w:tabs>
                      <w:tab w:val="left" w:pos="6915"/>
                    </w:tabs>
                    <w:jc w:val="center"/>
                    <w:rPr>
                      <w:rFonts w:ascii="宋体" w:hAnsi="宋体" w:cs="宋体"/>
                      <w:bCs/>
                      <w:sz w:val="22"/>
                      <w:szCs w:val="22"/>
                    </w:rPr>
                  </w:pPr>
                  <w:r>
                    <w:rPr>
                      <w:rFonts w:hint="eastAsia" w:ascii="宋体" w:hAnsi="宋体" w:cs="宋体"/>
                      <w:bCs/>
                      <w:sz w:val="22"/>
                      <w:szCs w:val="22"/>
                    </w:rPr>
                    <w:t>不锈钢或耐蚀铝合金</w:t>
                  </w:r>
                </w:p>
              </w:tc>
            </w:tr>
            <w:tr w14:paraId="4077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6AA5D3AA">
                  <w:pPr>
                    <w:tabs>
                      <w:tab w:val="left" w:pos="6915"/>
                    </w:tabs>
                    <w:jc w:val="center"/>
                    <w:rPr>
                      <w:rFonts w:ascii="宋体" w:hAnsi="宋体" w:cs="宋体"/>
                      <w:bCs/>
                      <w:sz w:val="22"/>
                      <w:szCs w:val="22"/>
                    </w:rPr>
                  </w:pPr>
                  <w:r>
                    <w:rPr>
                      <w:rFonts w:hint="eastAsia" w:ascii="宋体" w:hAnsi="宋体" w:cs="宋体"/>
                      <w:bCs/>
                      <w:sz w:val="22"/>
                      <w:szCs w:val="22"/>
                    </w:rPr>
                    <w:t>工作腔体容积</w:t>
                  </w:r>
                </w:p>
              </w:tc>
              <w:tc>
                <w:tcPr>
                  <w:tcW w:w="2937" w:type="pct"/>
                  <w:vAlign w:val="center"/>
                </w:tcPr>
                <w:p w14:paraId="76B608AE">
                  <w:pPr>
                    <w:tabs>
                      <w:tab w:val="left" w:pos="6915"/>
                    </w:tabs>
                    <w:jc w:val="center"/>
                    <w:rPr>
                      <w:rFonts w:ascii="宋体" w:hAnsi="宋体" w:cs="宋体"/>
                      <w:bCs/>
                      <w:sz w:val="22"/>
                      <w:szCs w:val="22"/>
                    </w:rPr>
                  </w:pPr>
                  <w:r>
                    <w:rPr>
                      <w:rFonts w:hint="eastAsia" w:ascii="宋体" w:hAnsi="宋体" w:cs="宋体"/>
                      <w:bCs/>
                      <w:sz w:val="22"/>
                      <w:szCs w:val="22"/>
                    </w:rPr>
                    <w:t>不小于6L</w:t>
                  </w:r>
                </w:p>
              </w:tc>
            </w:tr>
            <w:tr w14:paraId="7504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55960799">
                  <w:pPr>
                    <w:tabs>
                      <w:tab w:val="left" w:pos="6915"/>
                    </w:tabs>
                    <w:jc w:val="center"/>
                    <w:rPr>
                      <w:rFonts w:ascii="宋体" w:hAnsi="宋体" w:cs="宋体"/>
                      <w:bCs/>
                      <w:sz w:val="22"/>
                      <w:szCs w:val="22"/>
                    </w:rPr>
                  </w:pPr>
                  <w:r>
                    <w:rPr>
                      <w:rFonts w:hint="eastAsia" w:ascii="宋体" w:hAnsi="宋体" w:cs="宋体"/>
                      <w:bCs/>
                      <w:sz w:val="22"/>
                      <w:szCs w:val="22"/>
                    </w:rPr>
                    <w:t>等离子体发生器工作频率</w:t>
                  </w:r>
                </w:p>
              </w:tc>
              <w:tc>
                <w:tcPr>
                  <w:tcW w:w="2937" w:type="pct"/>
                  <w:vAlign w:val="center"/>
                </w:tcPr>
                <w:p w14:paraId="77AE4E72">
                  <w:pPr>
                    <w:tabs>
                      <w:tab w:val="left" w:pos="6915"/>
                    </w:tabs>
                    <w:jc w:val="center"/>
                    <w:rPr>
                      <w:rFonts w:ascii="宋体" w:hAnsi="宋体" w:cs="宋体"/>
                      <w:bCs/>
                      <w:sz w:val="22"/>
                      <w:szCs w:val="22"/>
                    </w:rPr>
                  </w:pPr>
                  <w:r>
                    <w:rPr>
                      <w:rFonts w:ascii="宋体" w:hAnsi="宋体" w:cs="宋体"/>
                      <w:bCs/>
                      <w:sz w:val="22"/>
                      <w:szCs w:val="22"/>
                    </w:rPr>
                    <w:t>13.56mHz</w:t>
                  </w:r>
                </w:p>
              </w:tc>
            </w:tr>
            <w:tr w14:paraId="2A9F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0319EDDC">
                  <w:pPr>
                    <w:tabs>
                      <w:tab w:val="left" w:pos="6915"/>
                    </w:tabs>
                    <w:jc w:val="center"/>
                    <w:rPr>
                      <w:rFonts w:ascii="宋体" w:hAnsi="宋体" w:cs="宋体"/>
                      <w:bCs/>
                      <w:sz w:val="22"/>
                      <w:szCs w:val="22"/>
                    </w:rPr>
                  </w:pPr>
                  <w:r>
                    <w:rPr>
                      <w:rFonts w:hint="eastAsia" w:ascii="宋体" w:hAnsi="宋体" w:cs="宋体"/>
                      <w:bCs/>
                      <w:sz w:val="22"/>
                      <w:szCs w:val="22"/>
                    </w:rPr>
                    <w:t>等离子体发生器电源功率可调范围</w:t>
                  </w:r>
                </w:p>
              </w:tc>
              <w:tc>
                <w:tcPr>
                  <w:tcW w:w="2937" w:type="pct"/>
                  <w:vAlign w:val="center"/>
                </w:tcPr>
                <w:p w14:paraId="14C6D329">
                  <w:pPr>
                    <w:tabs>
                      <w:tab w:val="left" w:pos="6915"/>
                    </w:tabs>
                    <w:jc w:val="center"/>
                    <w:rPr>
                      <w:rFonts w:ascii="宋体" w:hAnsi="宋体" w:cs="宋体"/>
                      <w:bCs/>
                      <w:sz w:val="22"/>
                      <w:szCs w:val="22"/>
                    </w:rPr>
                  </w:pPr>
                  <w:r>
                    <w:rPr>
                      <w:rFonts w:ascii="宋体" w:hAnsi="宋体" w:cs="宋体"/>
                      <w:bCs/>
                      <w:sz w:val="22"/>
                      <w:szCs w:val="22"/>
                    </w:rPr>
                    <w:t>不小于0-300W</w:t>
                  </w:r>
                </w:p>
              </w:tc>
            </w:tr>
            <w:tr w14:paraId="2F97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2DA73AEB">
                  <w:pPr>
                    <w:tabs>
                      <w:tab w:val="left" w:pos="6915"/>
                    </w:tabs>
                    <w:jc w:val="center"/>
                    <w:rPr>
                      <w:rFonts w:ascii="宋体" w:hAnsi="宋体" w:cs="宋体"/>
                      <w:bCs/>
                      <w:sz w:val="22"/>
                      <w:szCs w:val="22"/>
                    </w:rPr>
                  </w:pPr>
                  <w:r>
                    <w:rPr>
                      <w:rFonts w:hint="eastAsia" w:ascii="宋体" w:hAnsi="宋体" w:cs="宋体"/>
                      <w:bCs/>
                      <w:sz w:val="22"/>
                      <w:szCs w:val="22"/>
                    </w:rPr>
                    <w:t>工作极限真空度</w:t>
                  </w:r>
                </w:p>
              </w:tc>
              <w:tc>
                <w:tcPr>
                  <w:tcW w:w="2937" w:type="pct"/>
                  <w:vAlign w:val="center"/>
                </w:tcPr>
                <w:p w14:paraId="038C11E8">
                  <w:pPr>
                    <w:tabs>
                      <w:tab w:val="left" w:pos="6915"/>
                    </w:tabs>
                    <w:jc w:val="center"/>
                    <w:rPr>
                      <w:rFonts w:ascii="宋体" w:hAnsi="宋体" w:cs="宋体"/>
                      <w:bCs/>
                      <w:sz w:val="22"/>
                      <w:szCs w:val="22"/>
                    </w:rPr>
                  </w:pPr>
                  <w:r>
                    <w:rPr>
                      <w:rFonts w:hint="eastAsia" w:ascii="宋体" w:hAnsi="宋体" w:cs="宋体"/>
                      <w:bCs/>
                      <w:sz w:val="22"/>
                      <w:szCs w:val="22"/>
                    </w:rPr>
                    <w:t>不超过10Pa</w:t>
                  </w:r>
                </w:p>
              </w:tc>
            </w:tr>
            <w:tr w14:paraId="2472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7E85718B">
                  <w:pPr>
                    <w:tabs>
                      <w:tab w:val="left" w:pos="6915"/>
                    </w:tabs>
                    <w:jc w:val="center"/>
                    <w:rPr>
                      <w:rFonts w:ascii="宋体" w:hAnsi="宋体" w:cs="宋体"/>
                      <w:bCs/>
                      <w:sz w:val="22"/>
                      <w:szCs w:val="22"/>
                    </w:rPr>
                  </w:pPr>
                  <w:r>
                    <w:rPr>
                      <w:rFonts w:ascii="宋体" w:hAnsi="宋体" w:cs="宋体"/>
                      <w:bCs/>
                      <w:sz w:val="22"/>
                      <w:szCs w:val="22"/>
                    </w:rPr>
                    <w:t>气路</w:t>
                  </w:r>
                  <w:r>
                    <w:rPr>
                      <w:rFonts w:hint="eastAsia" w:ascii="宋体" w:hAnsi="宋体" w:cs="宋体"/>
                      <w:bCs/>
                      <w:sz w:val="22"/>
                      <w:szCs w:val="22"/>
                    </w:rPr>
                    <w:t>流量</w:t>
                  </w:r>
                  <w:r>
                    <w:rPr>
                      <w:rFonts w:ascii="宋体" w:hAnsi="宋体" w:cs="宋体"/>
                      <w:bCs/>
                      <w:sz w:val="22"/>
                      <w:szCs w:val="22"/>
                    </w:rPr>
                    <w:t>控制</w:t>
                  </w:r>
                </w:p>
              </w:tc>
              <w:tc>
                <w:tcPr>
                  <w:tcW w:w="2937" w:type="pct"/>
                  <w:vAlign w:val="center"/>
                </w:tcPr>
                <w:p w14:paraId="6061D69B">
                  <w:pPr>
                    <w:tabs>
                      <w:tab w:val="left" w:pos="6915"/>
                    </w:tabs>
                    <w:jc w:val="center"/>
                    <w:rPr>
                      <w:rFonts w:ascii="宋体" w:hAnsi="宋体" w:cs="宋体"/>
                      <w:bCs/>
                      <w:sz w:val="22"/>
                      <w:szCs w:val="22"/>
                    </w:rPr>
                  </w:pPr>
                  <w:r>
                    <w:rPr>
                      <w:rFonts w:ascii="宋体" w:hAnsi="宋体" w:cs="宋体"/>
                      <w:bCs/>
                      <w:sz w:val="22"/>
                      <w:szCs w:val="22"/>
                    </w:rPr>
                    <w:t>2路质量流量控制器（MFC）</w:t>
                  </w:r>
                </w:p>
              </w:tc>
            </w:tr>
            <w:tr w14:paraId="1B7F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365E8851">
                  <w:pPr>
                    <w:tabs>
                      <w:tab w:val="left" w:pos="6915"/>
                    </w:tabs>
                    <w:jc w:val="center"/>
                    <w:rPr>
                      <w:rFonts w:ascii="宋体" w:hAnsi="宋体" w:cs="宋体"/>
                      <w:bCs/>
                      <w:sz w:val="22"/>
                      <w:szCs w:val="22"/>
                    </w:rPr>
                  </w:pPr>
                  <w:r>
                    <w:rPr>
                      <w:rFonts w:hint="eastAsia" w:ascii="宋体" w:hAnsi="宋体" w:cs="宋体"/>
                      <w:bCs/>
                      <w:sz w:val="22"/>
                      <w:szCs w:val="22"/>
                    </w:rPr>
                    <w:t>气体</w:t>
                  </w:r>
                  <w:r>
                    <w:rPr>
                      <w:rFonts w:ascii="宋体" w:hAnsi="宋体" w:cs="宋体"/>
                      <w:bCs/>
                      <w:sz w:val="22"/>
                      <w:szCs w:val="22"/>
                    </w:rPr>
                    <w:t>流量调节范围</w:t>
                  </w:r>
                </w:p>
              </w:tc>
              <w:tc>
                <w:tcPr>
                  <w:tcW w:w="2937" w:type="pct"/>
                  <w:vAlign w:val="center"/>
                </w:tcPr>
                <w:p w14:paraId="63A0663D">
                  <w:pPr>
                    <w:tabs>
                      <w:tab w:val="left" w:pos="6915"/>
                    </w:tabs>
                    <w:jc w:val="center"/>
                    <w:rPr>
                      <w:rFonts w:ascii="宋体" w:hAnsi="宋体" w:cs="宋体"/>
                      <w:bCs/>
                      <w:sz w:val="22"/>
                      <w:szCs w:val="22"/>
                    </w:rPr>
                  </w:pPr>
                  <w:r>
                    <w:rPr>
                      <w:rFonts w:ascii="宋体" w:hAnsi="宋体" w:cs="宋体"/>
                      <w:bCs/>
                      <w:sz w:val="22"/>
                      <w:szCs w:val="22"/>
                    </w:rPr>
                    <w:t>不小于0-300sccm</w:t>
                  </w:r>
                </w:p>
              </w:tc>
            </w:tr>
            <w:tr w14:paraId="7B38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41CDFE28">
                  <w:pPr>
                    <w:tabs>
                      <w:tab w:val="left" w:pos="6915"/>
                    </w:tabs>
                    <w:jc w:val="center"/>
                    <w:rPr>
                      <w:rFonts w:ascii="宋体" w:hAnsi="宋体" w:cs="宋体"/>
                      <w:bCs/>
                      <w:sz w:val="22"/>
                      <w:szCs w:val="22"/>
                    </w:rPr>
                  </w:pPr>
                  <w:r>
                    <w:rPr>
                      <w:rFonts w:hint="eastAsia" w:ascii="宋体" w:hAnsi="宋体" w:cs="宋体"/>
                      <w:bCs/>
                      <w:sz w:val="22"/>
                      <w:szCs w:val="22"/>
                    </w:rPr>
                    <w:t>可支持工作气体</w:t>
                  </w:r>
                </w:p>
              </w:tc>
              <w:tc>
                <w:tcPr>
                  <w:tcW w:w="2937" w:type="pct"/>
                  <w:vAlign w:val="center"/>
                </w:tcPr>
                <w:p w14:paraId="169C09FE">
                  <w:pPr>
                    <w:tabs>
                      <w:tab w:val="left" w:pos="6915"/>
                    </w:tabs>
                    <w:jc w:val="center"/>
                    <w:rPr>
                      <w:rFonts w:ascii="宋体" w:hAnsi="宋体" w:cs="宋体"/>
                      <w:bCs/>
                      <w:sz w:val="22"/>
                      <w:szCs w:val="22"/>
                    </w:rPr>
                  </w:pPr>
                  <w:r>
                    <w:rPr>
                      <w:rFonts w:hint="eastAsia" w:ascii="宋体" w:hAnsi="宋体" w:cs="宋体"/>
                      <w:bCs/>
                      <w:sz w:val="22"/>
                      <w:szCs w:val="22"/>
                    </w:rPr>
                    <w:t>必须包含氧气、氩气、氮气</w:t>
                  </w:r>
                </w:p>
              </w:tc>
            </w:tr>
            <w:tr w14:paraId="32BA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447C2394">
                  <w:pPr>
                    <w:tabs>
                      <w:tab w:val="left" w:pos="6915"/>
                    </w:tabs>
                    <w:jc w:val="center"/>
                    <w:rPr>
                      <w:rFonts w:ascii="宋体" w:hAnsi="宋体" w:cs="宋体"/>
                      <w:bCs/>
                      <w:sz w:val="22"/>
                      <w:szCs w:val="22"/>
                    </w:rPr>
                  </w:pPr>
                  <w:r>
                    <w:rPr>
                      <w:rFonts w:hint="eastAsia" w:ascii="宋体" w:hAnsi="宋体" w:cs="宋体"/>
                      <w:bCs/>
                      <w:sz w:val="22"/>
                      <w:szCs w:val="22"/>
                    </w:rPr>
                    <w:t>腔体内工作温度</w:t>
                  </w:r>
                </w:p>
              </w:tc>
              <w:tc>
                <w:tcPr>
                  <w:tcW w:w="2937" w:type="pct"/>
                  <w:vAlign w:val="center"/>
                </w:tcPr>
                <w:p w14:paraId="696DC20D">
                  <w:pPr>
                    <w:tabs>
                      <w:tab w:val="left" w:pos="6915"/>
                    </w:tabs>
                    <w:jc w:val="center"/>
                    <w:rPr>
                      <w:rFonts w:ascii="宋体" w:hAnsi="宋体" w:cs="宋体"/>
                      <w:bCs/>
                      <w:sz w:val="22"/>
                      <w:szCs w:val="22"/>
                    </w:rPr>
                  </w:pPr>
                  <w:r>
                    <w:rPr>
                      <w:rFonts w:hint="eastAsia" w:ascii="宋体" w:hAnsi="宋体" w:cs="宋体"/>
                      <w:bCs/>
                      <w:sz w:val="22"/>
                      <w:szCs w:val="22"/>
                    </w:rPr>
                    <w:t>不超过60℃</w:t>
                  </w:r>
                </w:p>
              </w:tc>
            </w:tr>
            <w:tr w14:paraId="087E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0FCE8A3C">
                  <w:pPr>
                    <w:tabs>
                      <w:tab w:val="left" w:pos="6915"/>
                    </w:tabs>
                    <w:jc w:val="center"/>
                    <w:rPr>
                      <w:rFonts w:ascii="宋体" w:hAnsi="宋体" w:cs="宋体"/>
                      <w:bCs/>
                      <w:sz w:val="22"/>
                      <w:szCs w:val="22"/>
                    </w:rPr>
                  </w:pPr>
                  <w:r>
                    <w:rPr>
                      <w:rFonts w:hint="eastAsia" w:ascii="宋体" w:hAnsi="宋体" w:cs="宋体"/>
                      <w:bCs/>
                      <w:sz w:val="22"/>
                      <w:szCs w:val="22"/>
                    </w:rPr>
                    <w:t>真空泵配置</w:t>
                  </w:r>
                </w:p>
              </w:tc>
              <w:tc>
                <w:tcPr>
                  <w:tcW w:w="2937" w:type="pct"/>
                  <w:vAlign w:val="center"/>
                </w:tcPr>
                <w:p w14:paraId="0199E8A2">
                  <w:pPr>
                    <w:tabs>
                      <w:tab w:val="left" w:pos="6915"/>
                    </w:tabs>
                    <w:jc w:val="center"/>
                    <w:rPr>
                      <w:rFonts w:ascii="宋体" w:hAnsi="宋体" w:cs="宋体"/>
                      <w:bCs/>
                      <w:sz w:val="22"/>
                      <w:szCs w:val="22"/>
                    </w:rPr>
                  </w:pPr>
                  <w:r>
                    <w:rPr>
                      <w:rFonts w:hint="eastAsia" w:ascii="宋体" w:hAnsi="宋体" w:cs="宋体"/>
                      <w:bCs/>
                      <w:sz w:val="22"/>
                      <w:szCs w:val="22"/>
                    </w:rPr>
                    <w:t>无油干式涡旋泵</w:t>
                  </w:r>
                </w:p>
              </w:tc>
            </w:tr>
            <w:tr w14:paraId="3BB3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vAlign w:val="center"/>
                </w:tcPr>
                <w:p w14:paraId="29C98DCD">
                  <w:pPr>
                    <w:tabs>
                      <w:tab w:val="left" w:pos="6915"/>
                    </w:tabs>
                    <w:jc w:val="center"/>
                    <w:rPr>
                      <w:rFonts w:ascii="宋体" w:hAnsi="宋体" w:cs="宋体"/>
                      <w:bCs/>
                      <w:sz w:val="22"/>
                      <w:szCs w:val="22"/>
                    </w:rPr>
                  </w:pPr>
                  <w:r>
                    <w:rPr>
                      <w:rFonts w:hint="eastAsia" w:ascii="宋体" w:hAnsi="宋体" w:cs="宋体"/>
                      <w:bCs/>
                      <w:sz w:val="22"/>
                      <w:szCs w:val="22"/>
                    </w:rPr>
                    <w:t>仪器电源适配器</w:t>
                  </w:r>
                </w:p>
              </w:tc>
              <w:tc>
                <w:tcPr>
                  <w:tcW w:w="2937" w:type="pct"/>
                  <w:vAlign w:val="center"/>
                </w:tcPr>
                <w:p w14:paraId="3451A852">
                  <w:pPr>
                    <w:tabs>
                      <w:tab w:val="left" w:pos="6915"/>
                    </w:tabs>
                    <w:jc w:val="center"/>
                    <w:rPr>
                      <w:rFonts w:ascii="宋体" w:hAnsi="宋体" w:cs="宋体"/>
                      <w:bCs/>
                      <w:sz w:val="22"/>
                      <w:szCs w:val="22"/>
                    </w:rPr>
                  </w:pPr>
                  <w:r>
                    <w:rPr>
                      <w:rFonts w:hint="eastAsia" w:ascii="宋体" w:hAnsi="宋体" w:cs="宋体"/>
                      <w:bCs/>
                      <w:sz w:val="22"/>
                      <w:szCs w:val="22"/>
                    </w:rPr>
                    <w:t>支持220V供电电压</w:t>
                  </w:r>
                </w:p>
              </w:tc>
            </w:tr>
          </w:tbl>
          <w:p w14:paraId="727678EF">
            <w:pPr>
              <w:tabs>
                <w:tab w:val="left" w:pos="6915"/>
              </w:tabs>
              <w:jc w:val="both"/>
              <w:rPr>
                <w:rFonts w:hint="eastAsia"/>
                <w:bCs/>
                <w:sz w:val="24"/>
                <w:szCs w:val="24"/>
              </w:rPr>
            </w:pPr>
          </w:p>
        </w:tc>
        <w:tc>
          <w:tcPr>
            <w:tcW w:w="1201" w:type="dxa"/>
            <w:vAlign w:val="center"/>
          </w:tcPr>
          <w:p w14:paraId="3494B2B7">
            <w:pPr>
              <w:spacing w:line="240" w:lineRule="atLeast"/>
              <w:jc w:val="center"/>
              <w:rPr>
                <w:sz w:val="24"/>
                <w:szCs w:val="24"/>
              </w:rPr>
            </w:pPr>
          </w:p>
        </w:tc>
        <w:tc>
          <w:tcPr>
            <w:tcW w:w="992" w:type="dxa"/>
            <w:vAlign w:val="center"/>
          </w:tcPr>
          <w:p w14:paraId="4AB5E24F">
            <w:pPr>
              <w:spacing w:line="240" w:lineRule="atLeast"/>
              <w:jc w:val="center"/>
              <w:rPr>
                <w:sz w:val="24"/>
                <w:szCs w:val="24"/>
              </w:rPr>
            </w:pPr>
          </w:p>
        </w:tc>
      </w:tr>
      <w:tr w14:paraId="41B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705" w:type="dxa"/>
            <w:vAlign w:val="center"/>
          </w:tcPr>
          <w:p w14:paraId="1FB5921D">
            <w:pPr>
              <w:spacing w:line="240" w:lineRule="atLeast"/>
              <w:jc w:val="center"/>
              <w:rPr>
                <w:sz w:val="24"/>
                <w:szCs w:val="24"/>
              </w:rPr>
            </w:pPr>
            <w:r>
              <w:rPr>
                <w:sz w:val="24"/>
                <w:szCs w:val="24"/>
              </w:rPr>
              <w:t>2</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14:paraId="6E87ED25">
            <w:pPr>
              <w:widowControl/>
              <w:spacing w:line="240" w:lineRule="atLeast"/>
              <w:jc w:val="center"/>
              <w:rPr>
                <w:sz w:val="24"/>
                <w:szCs w:val="24"/>
              </w:rPr>
            </w:pPr>
            <w:r>
              <w:rPr>
                <w:rFonts w:hint="eastAsia"/>
                <w:sz w:val="24"/>
                <w:szCs w:val="24"/>
              </w:rPr>
              <w:t>商务条款</w:t>
            </w:r>
          </w:p>
        </w:tc>
        <w:tc>
          <w:tcPr>
            <w:tcW w:w="5322" w:type="dxa"/>
            <w:tcBorders>
              <w:top w:val="single" w:color="auto" w:sz="4" w:space="0"/>
              <w:left w:val="nil"/>
              <w:bottom w:val="single" w:color="auto" w:sz="4" w:space="0"/>
              <w:right w:val="single" w:color="auto" w:sz="4" w:space="0"/>
            </w:tcBorders>
            <w:shd w:val="clear" w:color="auto" w:fill="auto"/>
            <w:vAlign w:val="center"/>
          </w:tcPr>
          <w:p w14:paraId="5D1EA786">
            <w:pPr>
              <w:tabs>
                <w:tab w:val="left" w:pos="6915"/>
              </w:tabs>
              <w:jc w:val="left"/>
              <w:rPr>
                <w:rFonts w:hint="eastAsia" w:ascii="宋体" w:hAnsi="宋体"/>
                <w:b w:val="0"/>
                <w:bCs/>
                <w:sz w:val="24"/>
                <w:szCs w:val="24"/>
              </w:rPr>
            </w:pPr>
            <w:r>
              <w:rPr>
                <w:rFonts w:ascii="宋体" w:hAnsi="宋体"/>
                <w:b/>
                <w:bCs w:val="0"/>
                <w:sz w:val="24"/>
                <w:szCs w:val="24"/>
              </w:rPr>
              <w:t>交货期</w:t>
            </w:r>
            <w:r>
              <w:rPr>
                <w:rFonts w:hint="eastAsia" w:ascii="宋体" w:hAnsi="宋体"/>
                <w:b/>
                <w:bCs w:val="0"/>
                <w:sz w:val="24"/>
                <w:szCs w:val="24"/>
              </w:rPr>
              <w:t>：</w:t>
            </w:r>
            <w:r>
              <w:rPr>
                <w:rFonts w:hint="eastAsia" w:ascii="宋体" w:hAnsi="宋体"/>
                <w:b w:val="0"/>
                <w:bCs/>
                <w:sz w:val="24"/>
                <w:szCs w:val="24"/>
              </w:rPr>
              <w:t>合同签订</w:t>
            </w:r>
            <w:r>
              <w:rPr>
                <w:rFonts w:ascii="宋体" w:hAnsi="宋体"/>
                <w:b w:val="0"/>
                <w:bCs/>
                <w:sz w:val="24"/>
                <w:szCs w:val="24"/>
              </w:rPr>
              <w:t>后</w:t>
            </w:r>
            <w:r>
              <w:rPr>
                <w:rFonts w:hint="eastAsia" w:ascii="宋体" w:hAnsi="宋体"/>
                <w:b w:val="0"/>
                <w:bCs/>
                <w:sz w:val="24"/>
                <w:szCs w:val="24"/>
                <w:lang w:val="en-US" w:eastAsia="zh-CN"/>
              </w:rPr>
              <w:t>45天内</w:t>
            </w:r>
            <w:r>
              <w:rPr>
                <w:rFonts w:ascii="宋体" w:hAnsi="宋体"/>
                <w:b w:val="0"/>
                <w:bCs/>
                <w:sz w:val="24"/>
                <w:szCs w:val="24"/>
              </w:rPr>
              <w:t>。</w:t>
            </w:r>
          </w:p>
          <w:p w14:paraId="0AE53E8A">
            <w:pPr>
              <w:tabs>
                <w:tab w:val="left" w:pos="6915"/>
              </w:tabs>
              <w:jc w:val="left"/>
              <w:rPr>
                <w:rFonts w:hint="eastAsia" w:ascii="宋体" w:hAnsi="宋体"/>
                <w:b w:val="0"/>
                <w:bCs/>
                <w:sz w:val="24"/>
                <w:szCs w:val="24"/>
              </w:rPr>
            </w:pPr>
            <w:r>
              <w:rPr>
                <w:rFonts w:ascii="宋体" w:hAnsi="宋体"/>
                <w:b/>
                <w:bCs w:val="0"/>
                <w:sz w:val="24"/>
                <w:szCs w:val="24"/>
              </w:rPr>
              <w:t>交付进度</w:t>
            </w:r>
            <w:r>
              <w:rPr>
                <w:rFonts w:hint="eastAsia" w:ascii="宋体" w:hAnsi="宋体"/>
                <w:b/>
                <w:bCs w:val="0"/>
                <w:sz w:val="24"/>
                <w:szCs w:val="24"/>
              </w:rPr>
              <w:t>：</w:t>
            </w:r>
            <w:r>
              <w:rPr>
                <w:rFonts w:ascii="宋体" w:hAnsi="宋体"/>
                <w:b w:val="0"/>
                <w:bCs/>
                <w:sz w:val="24"/>
                <w:szCs w:val="24"/>
              </w:rPr>
              <w:t>一次性交付。</w:t>
            </w:r>
          </w:p>
          <w:p w14:paraId="334D4C40">
            <w:pPr>
              <w:tabs>
                <w:tab w:val="left" w:pos="6915"/>
              </w:tabs>
              <w:jc w:val="left"/>
              <w:rPr>
                <w:rFonts w:hint="eastAsia" w:ascii="宋体" w:hAnsi="宋体"/>
                <w:b w:val="0"/>
                <w:bCs/>
                <w:sz w:val="24"/>
                <w:szCs w:val="24"/>
              </w:rPr>
            </w:pPr>
            <w:r>
              <w:rPr>
                <w:rFonts w:ascii="宋体" w:hAnsi="宋体"/>
                <w:b/>
                <w:bCs w:val="0"/>
                <w:sz w:val="24"/>
                <w:szCs w:val="24"/>
              </w:rPr>
              <w:t>付款方式</w:t>
            </w:r>
            <w:r>
              <w:rPr>
                <w:rFonts w:hint="eastAsia" w:ascii="宋体" w:hAnsi="宋体"/>
                <w:b/>
                <w:bCs w:val="0"/>
                <w:sz w:val="24"/>
                <w:szCs w:val="24"/>
              </w:rPr>
              <w:t>：</w:t>
            </w:r>
            <w:r>
              <w:rPr>
                <w:rFonts w:hint="eastAsia" w:ascii="宋体" w:hAnsi="宋体"/>
                <w:b w:val="0"/>
                <w:bCs/>
                <w:sz w:val="24"/>
                <w:szCs w:val="24"/>
              </w:rPr>
              <w:t>1.国产设备：（1）合同签订后，支付合同总价的50%；（2）货到指定地点并且验收合格后，支付合同总价的50%。</w:t>
            </w:r>
          </w:p>
          <w:p w14:paraId="317B0C0B">
            <w:pPr>
              <w:tabs>
                <w:tab w:val="left" w:pos="6915"/>
              </w:tabs>
              <w:jc w:val="left"/>
              <w:rPr>
                <w:rFonts w:hint="eastAsia" w:ascii="宋体" w:hAnsi="宋体"/>
                <w:b w:val="0"/>
                <w:bCs/>
                <w:sz w:val="24"/>
                <w:szCs w:val="24"/>
              </w:rPr>
            </w:pPr>
            <w:r>
              <w:rPr>
                <w:rFonts w:hint="eastAsia" w:ascii="宋体" w:hAnsi="宋体"/>
                <w:b w:val="0"/>
                <w:bCs/>
                <w:sz w:val="24"/>
                <w:szCs w:val="24"/>
              </w:rPr>
              <w:t>2.进口设备：（1）凭发货运单以TT方式支付合同金额的90%；（2）现场验收合格后支付合同总金额10%的尾款。</w:t>
            </w:r>
          </w:p>
          <w:p w14:paraId="73141A37">
            <w:pPr>
              <w:tabs>
                <w:tab w:val="left" w:pos="6915"/>
              </w:tabs>
              <w:jc w:val="left"/>
              <w:rPr>
                <w:rFonts w:hint="eastAsia" w:ascii="宋体" w:hAnsi="宋体"/>
                <w:b w:val="0"/>
                <w:bCs/>
                <w:sz w:val="24"/>
                <w:szCs w:val="24"/>
              </w:rPr>
            </w:pPr>
            <w:r>
              <w:rPr>
                <w:rFonts w:hint="eastAsia" w:ascii="宋体" w:hAnsi="宋体"/>
                <w:b/>
                <w:bCs w:val="0"/>
                <w:sz w:val="24"/>
                <w:szCs w:val="24"/>
              </w:rPr>
              <w:t>验收指标及验收要求：</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2859"/>
            </w:tblGrid>
            <w:tr w14:paraId="2A63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3B3DB7D4">
                  <w:pPr>
                    <w:tabs>
                      <w:tab w:val="left" w:pos="6915"/>
                    </w:tabs>
                    <w:jc w:val="center"/>
                    <w:rPr>
                      <w:rFonts w:ascii="宋体" w:hAnsi="宋体" w:cs="宋体"/>
                      <w:b/>
                      <w:sz w:val="22"/>
                      <w:szCs w:val="22"/>
                    </w:rPr>
                  </w:pPr>
                  <w:r>
                    <w:rPr>
                      <w:rFonts w:hint="eastAsia" w:ascii="宋体" w:hAnsi="宋体" w:cs="宋体"/>
                      <w:b/>
                      <w:sz w:val="22"/>
                      <w:szCs w:val="22"/>
                    </w:rPr>
                    <w:t>参数名称</w:t>
                  </w:r>
                </w:p>
              </w:tc>
              <w:tc>
                <w:tcPr>
                  <w:tcW w:w="2859" w:type="dxa"/>
                  <w:vAlign w:val="center"/>
                </w:tcPr>
                <w:p w14:paraId="480FBE14">
                  <w:pPr>
                    <w:tabs>
                      <w:tab w:val="left" w:pos="6915"/>
                    </w:tabs>
                    <w:jc w:val="center"/>
                    <w:rPr>
                      <w:rFonts w:ascii="宋体" w:hAnsi="宋体" w:cs="宋体"/>
                      <w:b/>
                      <w:sz w:val="22"/>
                      <w:szCs w:val="22"/>
                    </w:rPr>
                  </w:pPr>
                  <w:r>
                    <w:rPr>
                      <w:rFonts w:hint="eastAsia" w:ascii="宋体" w:hAnsi="宋体" w:cs="宋体"/>
                      <w:b/>
                      <w:sz w:val="22"/>
                      <w:szCs w:val="22"/>
                    </w:rPr>
                    <w:t>指标</w:t>
                  </w:r>
                </w:p>
              </w:tc>
            </w:tr>
            <w:tr w14:paraId="3389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1DAF928D">
                  <w:pPr>
                    <w:tabs>
                      <w:tab w:val="left" w:pos="6915"/>
                    </w:tabs>
                    <w:jc w:val="center"/>
                    <w:rPr>
                      <w:rFonts w:ascii="宋体" w:hAnsi="宋体" w:cs="宋体"/>
                      <w:bCs/>
                      <w:sz w:val="22"/>
                      <w:szCs w:val="22"/>
                    </w:rPr>
                  </w:pPr>
                  <w:r>
                    <w:rPr>
                      <w:rFonts w:hint="eastAsia" w:ascii="宋体" w:hAnsi="宋体" w:cs="宋体"/>
                      <w:bCs/>
                      <w:sz w:val="22"/>
                      <w:szCs w:val="22"/>
                    </w:rPr>
                    <w:t>工作腔体材质</w:t>
                  </w:r>
                </w:p>
              </w:tc>
              <w:tc>
                <w:tcPr>
                  <w:tcW w:w="2859" w:type="dxa"/>
                  <w:vAlign w:val="center"/>
                </w:tcPr>
                <w:p w14:paraId="16385DAF">
                  <w:pPr>
                    <w:tabs>
                      <w:tab w:val="left" w:pos="6915"/>
                    </w:tabs>
                    <w:jc w:val="center"/>
                    <w:rPr>
                      <w:rFonts w:ascii="宋体" w:hAnsi="宋体" w:cs="宋体"/>
                      <w:bCs/>
                      <w:sz w:val="22"/>
                      <w:szCs w:val="22"/>
                    </w:rPr>
                  </w:pPr>
                  <w:r>
                    <w:rPr>
                      <w:rFonts w:hint="eastAsia" w:ascii="宋体" w:hAnsi="宋体" w:cs="宋体"/>
                      <w:bCs/>
                      <w:sz w:val="22"/>
                      <w:szCs w:val="22"/>
                    </w:rPr>
                    <w:t>不锈钢或耐蚀铝合金</w:t>
                  </w:r>
                </w:p>
              </w:tc>
            </w:tr>
            <w:tr w14:paraId="1577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0B7965E1">
                  <w:pPr>
                    <w:tabs>
                      <w:tab w:val="left" w:pos="6915"/>
                    </w:tabs>
                    <w:jc w:val="center"/>
                    <w:rPr>
                      <w:rFonts w:ascii="宋体" w:hAnsi="宋体" w:cs="宋体"/>
                      <w:bCs/>
                      <w:sz w:val="22"/>
                      <w:szCs w:val="22"/>
                    </w:rPr>
                  </w:pPr>
                  <w:r>
                    <w:rPr>
                      <w:rFonts w:hint="eastAsia" w:ascii="宋体" w:hAnsi="宋体" w:cs="宋体"/>
                      <w:bCs/>
                      <w:sz w:val="22"/>
                      <w:szCs w:val="22"/>
                    </w:rPr>
                    <w:t>工作腔体容积</w:t>
                  </w:r>
                </w:p>
              </w:tc>
              <w:tc>
                <w:tcPr>
                  <w:tcW w:w="2859" w:type="dxa"/>
                  <w:vAlign w:val="center"/>
                </w:tcPr>
                <w:p w14:paraId="34752D47">
                  <w:pPr>
                    <w:tabs>
                      <w:tab w:val="left" w:pos="6915"/>
                    </w:tabs>
                    <w:jc w:val="center"/>
                    <w:rPr>
                      <w:rFonts w:ascii="宋体" w:hAnsi="宋体" w:cs="宋体"/>
                      <w:bCs/>
                      <w:sz w:val="22"/>
                      <w:szCs w:val="22"/>
                    </w:rPr>
                  </w:pPr>
                  <w:r>
                    <w:rPr>
                      <w:rFonts w:hint="eastAsia" w:ascii="宋体" w:hAnsi="宋体" w:cs="宋体"/>
                      <w:bCs/>
                      <w:sz w:val="22"/>
                      <w:szCs w:val="22"/>
                    </w:rPr>
                    <w:t>不小于6L</w:t>
                  </w:r>
                </w:p>
              </w:tc>
            </w:tr>
            <w:tr w14:paraId="1E2A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7EA674F7">
                  <w:pPr>
                    <w:tabs>
                      <w:tab w:val="left" w:pos="6915"/>
                    </w:tabs>
                    <w:jc w:val="center"/>
                    <w:rPr>
                      <w:rFonts w:ascii="宋体" w:hAnsi="宋体" w:cs="宋体"/>
                      <w:bCs/>
                      <w:sz w:val="22"/>
                      <w:szCs w:val="22"/>
                    </w:rPr>
                  </w:pPr>
                  <w:r>
                    <w:rPr>
                      <w:rFonts w:hint="eastAsia" w:ascii="宋体" w:hAnsi="宋体" w:cs="宋体"/>
                      <w:bCs/>
                      <w:sz w:val="22"/>
                      <w:szCs w:val="22"/>
                    </w:rPr>
                    <w:t>等离子体发生器工作频率</w:t>
                  </w:r>
                </w:p>
              </w:tc>
              <w:tc>
                <w:tcPr>
                  <w:tcW w:w="2859" w:type="dxa"/>
                  <w:vAlign w:val="center"/>
                </w:tcPr>
                <w:p w14:paraId="33538991">
                  <w:pPr>
                    <w:tabs>
                      <w:tab w:val="left" w:pos="6915"/>
                    </w:tabs>
                    <w:jc w:val="center"/>
                    <w:rPr>
                      <w:rFonts w:ascii="宋体" w:hAnsi="宋体" w:cs="宋体"/>
                      <w:bCs/>
                      <w:sz w:val="22"/>
                      <w:szCs w:val="22"/>
                    </w:rPr>
                  </w:pPr>
                  <w:r>
                    <w:rPr>
                      <w:rFonts w:ascii="宋体" w:hAnsi="宋体" w:cs="宋体"/>
                      <w:bCs/>
                      <w:sz w:val="22"/>
                      <w:szCs w:val="22"/>
                    </w:rPr>
                    <w:t>13.56mHz</w:t>
                  </w:r>
                </w:p>
              </w:tc>
            </w:tr>
            <w:tr w14:paraId="027F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5BD86DBB">
                  <w:pPr>
                    <w:tabs>
                      <w:tab w:val="left" w:pos="6915"/>
                    </w:tabs>
                    <w:jc w:val="center"/>
                    <w:rPr>
                      <w:rFonts w:ascii="宋体" w:hAnsi="宋体" w:cs="宋体"/>
                      <w:bCs/>
                      <w:sz w:val="22"/>
                      <w:szCs w:val="22"/>
                    </w:rPr>
                  </w:pPr>
                  <w:r>
                    <w:rPr>
                      <w:rFonts w:hint="eastAsia" w:ascii="宋体" w:hAnsi="宋体" w:cs="宋体"/>
                      <w:bCs/>
                      <w:sz w:val="22"/>
                      <w:szCs w:val="22"/>
                    </w:rPr>
                    <w:t>等离子体发生器电源功率可调范围</w:t>
                  </w:r>
                </w:p>
              </w:tc>
              <w:tc>
                <w:tcPr>
                  <w:tcW w:w="2859" w:type="dxa"/>
                  <w:vAlign w:val="center"/>
                </w:tcPr>
                <w:p w14:paraId="013A404A">
                  <w:pPr>
                    <w:tabs>
                      <w:tab w:val="left" w:pos="6915"/>
                    </w:tabs>
                    <w:jc w:val="center"/>
                    <w:rPr>
                      <w:rFonts w:ascii="宋体" w:hAnsi="宋体" w:cs="宋体"/>
                      <w:bCs/>
                      <w:sz w:val="22"/>
                      <w:szCs w:val="22"/>
                    </w:rPr>
                  </w:pPr>
                  <w:r>
                    <w:rPr>
                      <w:rFonts w:ascii="宋体" w:hAnsi="宋体" w:cs="宋体"/>
                      <w:bCs/>
                      <w:sz w:val="22"/>
                      <w:szCs w:val="22"/>
                    </w:rPr>
                    <w:t>不小于0-300W</w:t>
                  </w:r>
                </w:p>
              </w:tc>
            </w:tr>
            <w:tr w14:paraId="0DAC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4C66E844">
                  <w:pPr>
                    <w:tabs>
                      <w:tab w:val="left" w:pos="6915"/>
                    </w:tabs>
                    <w:jc w:val="center"/>
                    <w:rPr>
                      <w:rFonts w:ascii="宋体" w:hAnsi="宋体" w:cs="宋体"/>
                      <w:bCs/>
                      <w:sz w:val="22"/>
                      <w:szCs w:val="22"/>
                    </w:rPr>
                  </w:pPr>
                  <w:r>
                    <w:rPr>
                      <w:rFonts w:hint="eastAsia" w:ascii="宋体" w:hAnsi="宋体" w:cs="宋体"/>
                      <w:bCs/>
                      <w:sz w:val="22"/>
                      <w:szCs w:val="22"/>
                    </w:rPr>
                    <w:t>工作极限真空度</w:t>
                  </w:r>
                </w:p>
              </w:tc>
              <w:tc>
                <w:tcPr>
                  <w:tcW w:w="2859" w:type="dxa"/>
                  <w:vAlign w:val="center"/>
                </w:tcPr>
                <w:p w14:paraId="7E7A236A">
                  <w:pPr>
                    <w:tabs>
                      <w:tab w:val="left" w:pos="6915"/>
                    </w:tabs>
                    <w:jc w:val="center"/>
                    <w:rPr>
                      <w:rFonts w:ascii="宋体" w:hAnsi="宋体" w:cs="宋体"/>
                      <w:bCs/>
                      <w:sz w:val="22"/>
                      <w:szCs w:val="22"/>
                    </w:rPr>
                  </w:pPr>
                  <w:r>
                    <w:rPr>
                      <w:rFonts w:hint="eastAsia" w:ascii="宋体" w:hAnsi="宋体" w:cs="宋体"/>
                      <w:bCs/>
                      <w:sz w:val="22"/>
                      <w:szCs w:val="22"/>
                    </w:rPr>
                    <w:t>不超过10Pa</w:t>
                  </w:r>
                </w:p>
              </w:tc>
            </w:tr>
            <w:tr w14:paraId="3E0B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6257A9A5">
                  <w:pPr>
                    <w:tabs>
                      <w:tab w:val="left" w:pos="6915"/>
                    </w:tabs>
                    <w:jc w:val="center"/>
                    <w:rPr>
                      <w:rFonts w:ascii="宋体" w:hAnsi="宋体" w:cs="宋体"/>
                      <w:bCs/>
                      <w:sz w:val="22"/>
                      <w:szCs w:val="22"/>
                    </w:rPr>
                  </w:pPr>
                  <w:r>
                    <w:rPr>
                      <w:rFonts w:ascii="宋体" w:hAnsi="宋体" w:cs="宋体"/>
                      <w:bCs/>
                      <w:sz w:val="22"/>
                      <w:szCs w:val="22"/>
                    </w:rPr>
                    <w:t>气路</w:t>
                  </w:r>
                  <w:r>
                    <w:rPr>
                      <w:rFonts w:hint="eastAsia" w:ascii="宋体" w:hAnsi="宋体" w:cs="宋体"/>
                      <w:bCs/>
                      <w:sz w:val="22"/>
                      <w:szCs w:val="22"/>
                    </w:rPr>
                    <w:t>流量</w:t>
                  </w:r>
                  <w:r>
                    <w:rPr>
                      <w:rFonts w:ascii="宋体" w:hAnsi="宋体" w:cs="宋体"/>
                      <w:bCs/>
                      <w:sz w:val="22"/>
                      <w:szCs w:val="22"/>
                    </w:rPr>
                    <w:t>控制</w:t>
                  </w:r>
                </w:p>
              </w:tc>
              <w:tc>
                <w:tcPr>
                  <w:tcW w:w="2859" w:type="dxa"/>
                  <w:vAlign w:val="center"/>
                </w:tcPr>
                <w:p w14:paraId="5B84D22B">
                  <w:pPr>
                    <w:tabs>
                      <w:tab w:val="left" w:pos="6915"/>
                    </w:tabs>
                    <w:jc w:val="center"/>
                    <w:rPr>
                      <w:rFonts w:ascii="宋体" w:hAnsi="宋体" w:cs="宋体"/>
                      <w:bCs/>
                      <w:sz w:val="22"/>
                      <w:szCs w:val="22"/>
                    </w:rPr>
                  </w:pPr>
                  <w:r>
                    <w:rPr>
                      <w:rFonts w:ascii="宋体" w:hAnsi="宋体" w:cs="宋体"/>
                      <w:bCs/>
                      <w:sz w:val="22"/>
                      <w:szCs w:val="22"/>
                    </w:rPr>
                    <w:t>2路质量流量控制器（MFC）</w:t>
                  </w:r>
                </w:p>
              </w:tc>
            </w:tr>
            <w:tr w14:paraId="2B15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531CEA06">
                  <w:pPr>
                    <w:tabs>
                      <w:tab w:val="left" w:pos="6915"/>
                    </w:tabs>
                    <w:jc w:val="center"/>
                    <w:rPr>
                      <w:rFonts w:ascii="宋体" w:hAnsi="宋体" w:cs="宋体"/>
                      <w:bCs/>
                      <w:sz w:val="22"/>
                      <w:szCs w:val="22"/>
                    </w:rPr>
                  </w:pPr>
                  <w:r>
                    <w:rPr>
                      <w:rFonts w:hint="eastAsia" w:ascii="宋体" w:hAnsi="宋体" w:cs="宋体"/>
                      <w:bCs/>
                      <w:sz w:val="22"/>
                      <w:szCs w:val="22"/>
                    </w:rPr>
                    <w:t>气体</w:t>
                  </w:r>
                  <w:r>
                    <w:rPr>
                      <w:rFonts w:ascii="宋体" w:hAnsi="宋体" w:cs="宋体"/>
                      <w:bCs/>
                      <w:sz w:val="22"/>
                      <w:szCs w:val="22"/>
                    </w:rPr>
                    <w:t>流量调节范围</w:t>
                  </w:r>
                </w:p>
              </w:tc>
              <w:tc>
                <w:tcPr>
                  <w:tcW w:w="2859" w:type="dxa"/>
                  <w:vAlign w:val="center"/>
                </w:tcPr>
                <w:p w14:paraId="2C4B1BC8">
                  <w:pPr>
                    <w:tabs>
                      <w:tab w:val="left" w:pos="6915"/>
                    </w:tabs>
                    <w:jc w:val="center"/>
                    <w:rPr>
                      <w:rFonts w:ascii="宋体" w:hAnsi="宋体" w:cs="宋体"/>
                      <w:bCs/>
                      <w:sz w:val="22"/>
                      <w:szCs w:val="22"/>
                    </w:rPr>
                  </w:pPr>
                  <w:r>
                    <w:rPr>
                      <w:rFonts w:ascii="宋体" w:hAnsi="宋体" w:cs="宋体"/>
                      <w:bCs/>
                      <w:sz w:val="22"/>
                      <w:szCs w:val="22"/>
                    </w:rPr>
                    <w:t>不小于0-300sccm</w:t>
                  </w:r>
                </w:p>
              </w:tc>
            </w:tr>
            <w:tr w14:paraId="5994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4FC758AB">
                  <w:pPr>
                    <w:tabs>
                      <w:tab w:val="left" w:pos="6915"/>
                    </w:tabs>
                    <w:jc w:val="center"/>
                    <w:rPr>
                      <w:rFonts w:ascii="宋体" w:hAnsi="宋体" w:cs="宋体"/>
                      <w:bCs/>
                      <w:sz w:val="22"/>
                      <w:szCs w:val="22"/>
                    </w:rPr>
                  </w:pPr>
                  <w:r>
                    <w:rPr>
                      <w:rFonts w:hint="eastAsia" w:ascii="宋体" w:hAnsi="宋体" w:cs="宋体"/>
                      <w:bCs/>
                      <w:sz w:val="22"/>
                      <w:szCs w:val="22"/>
                    </w:rPr>
                    <w:t>可支持工作气体</w:t>
                  </w:r>
                </w:p>
              </w:tc>
              <w:tc>
                <w:tcPr>
                  <w:tcW w:w="2859" w:type="dxa"/>
                  <w:vAlign w:val="center"/>
                </w:tcPr>
                <w:p w14:paraId="5EB59BDB">
                  <w:pPr>
                    <w:tabs>
                      <w:tab w:val="left" w:pos="6915"/>
                    </w:tabs>
                    <w:jc w:val="center"/>
                    <w:rPr>
                      <w:rFonts w:ascii="宋体" w:hAnsi="宋体" w:cs="宋体"/>
                      <w:bCs/>
                      <w:sz w:val="22"/>
                      <w:szCs w:val="22"/>
                    </w:rPr>
                  </w:pPr>
                  <w:r>
                    <w:rPr>
                      <w:rFonts w:hint="eastAsia" w:ascii="宋体" w:hAnsi="宋体" w:cs="宋体"/>
                      <w:bCs/>
                      <w:sz w:val="22"/>
                      <w:szCs w:val="22"/>
                    </w:rPr>
                    <w:t>必须包含氧气、氩气、氮气</w:t>
                  </w:r>
                </w:p>
              </w:tc>
            </w:tr>
            <w:tr w14:paraId="6857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005CC4CB">
                  <w:pPr>
                    <w:tabs>
                      <w:tab w:val="left" w:pos="6915"/>
                    </w:tabs>
                    <w:jc w:val="center"/>
                    <w:rPr>
                      <w:rFonts w:ascii="宋体" w:hAnsi="宋体" w:cs="宋体"/>
                      <w:bCs/>
                      <w:sz w:val="22"/>
                      <w:szCs w:val="22"/>
                    </w:rPr>
                  </w:pPr>
                  <w:r>
                    <w:rPr>
                      <w:rFonts w:hint="eastAsia" w:ascii="宋体" w:hAnsi="宋体" w:cs="宋体"/>
                      <w:bCs/>
                      <w:sz w:val="22"/>
                      <w:szCs w:val="22"/>
                    </w:rPr>
                    <w:t>腔体内工作温度</w:t>
                  </w:r>
                </w:p>
              </w:tc>
              <w:tc>
                <w:tcPr>
                  <w:tcW w:w="2859" w:type="dxa"/>
                  <w:vAlign w:val="center"/>
                </w:tcPr>
                <w:p w14:paraId="596A8BA9">
                  <w:pPr>
                    <w:tabs>
                      <w:tab w:val="left" w:pos="6915"/>
                    </w:tabs>
                    <w:jc w:val="center"/>
                    <w:rPr>
                      <w:rFonts w:ascii="宋体" w:hAnsi="宋体" w:cs="宋体"/>
                      <w:bCs/>
                      <w:sz w:val="22"/>
                      <w:szCs w:val="22"/>
                    </w:rPr>
                  </w:pPr>
                  <w:r>
                    <w:rPr>
                      <w:rFonts w:hint="eastAsia" w:ascii="宋体" w:hAnsi="宋体" w:cs="宋体"/>
                      <w:bCs/>
                      <w:sz w:val="22"/>
                      <w:szCs w:val="22"/>
                    </w:rPr>
                    <w:t>不超过60℃</w:t>
                  </w:r>
                </w:p>
              </w:tc>
            </w:tr>
            <w:tr w14:paraId="5708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37" w:type="dxa"/>
                  <w:vAlign w:val="center"/>
                </w:tcPr>
                <w:p w14:paraId="25EA3A9F">
                  <w:pPr>
                    <w:tabs>
                      <w:tab w:val="left" w:pos="6915"/>
                    </w:tabs>
                    <w:jc w:val="center"/>
                    <w:rPr>
                      <w:rFonts w:ascii="宋体" w:hAnsi="宋体" w:cs="宋体"/>
                      <w:bCs/>
                      <w:sz w:val="22"/>
                      <w:szCs w:val="22"/>
                    </w:rPr>
                  </w:pPr>
                  <w:r>
                    <w:rPr>
                      <w:rFonts w:hint="eastAsia" w:ascii="宋体" w:hAnsi="宋体" w:cs="宋体"/>
                      <w:bCs/>
                      <w:sz w:val="22"/>
                      <w:szCs w:val="22"/>
                    </w:rPr>
                    <w:t>真空泵配置</w:t>
                  </w:r>
                </w:p>
              </w:tc>
              <w:tc>
                <w:tcPr>
                  <w:tcW w:w="2859" w:type="dxa"/>
                  <w:vAlign w:val="center"/>
                </w:tcPr>
                <w:p w14:paraId="185371DD">
                  <w:pPr>
                    <w:tabs>
                      <w:tab w:val="left" w:pos="6915"/>
                    </w:tabs>
                    <w:jc w:val="center"/>
                    <w:rPr>
                      <w:rFonts w:ascii="宋体" w:hAnsi="宋体" w:cs="宋体"/>
                      <w:bCs/>
                      <w:sz w:val="22"/>
                      <w:szCs w:val="22"/>
                    </w:rPr>
                  </w:pPr>
                  <w:r>
                    <w:rPr>
                      <w:rFonts w:hint="eastAsia" w:ascii="宋体" w:hAnsi="宋体" w:cs="宋体"/>
                      <w:bCs/>
                      <w:sz w:val="22"/>
                      <w:szCs w:val="22"/>
                    </w:rPr>
                    <w:t>无油干式涡旋泵</w:t>
                  </w:r>
                </w:p>
              </w:tc>
            </w:tr>
          </w:tbl>
          <w:p w14:paraId="76922D2F">
            <w:pPr>
              <w:numPr>
                <w:ilvl w:val="0"/>
                <w:numId w:val="0"/>
              </w:numPr>
              <w:tabs>
                <w:tab w:val="left" w:pos="6915"/>
              </w:tabs>
              <w:jc w:val="left"/>
              <w:rPr>
                <w:rFonts w:ascii="宋体" w:hAnsi="宋体" w:cs="宋体"/>
                <w:bCs/>
                <w:sz w:val="24"/>
              </w:rPr>
            </w:pPr>
            <w:r>
              <w:rPr>
                <w:rFonts w:hint="eastAsia" w:ascii="宋体" w:hAnsi="宋体"/>
                <w:b/>
                <w:bCs w:val="0"/>
                <w:sz w:val="24"/>
                <w:szCs w:val="24"/>
              </w:rPr>
              <w:t>保修</w:t>
            </w:r>
            <w:r>
              <w:rPr>
                <w:rFonts w:ascii="宋体" w:hAnsi="宋体"/>
                <w:b/>
                <w:bCs w:val="0"/>
                <w:sz w:val="24"/>
                <w:szCs w:val="24"/>
              </w:rPr>
              <w:t>及售后服务</w:t>
            </w:r>
            <w:r>
              <w:rPr>
                <w:rFonts w:hint="eastAsia" w:ascii="宋体" w:hAnsi="宋体"/>
                <w:b/>
                <w:bCs w:val="0"/>
                <w:sz w:val="24"/>
                <w:szCs w:val="24"/>
              </w:rPr>
              <w:t>：</w:t>
            </w:r>
          </w:p>
          <w:p w14:paraId="5170A8FA">
            <w:pPr>
              <w:numPr>
                <w:ilvl w:val="0"/>
                <w:numId w:val="0"/>
              </w:numPr>
              <w:tabs>
                <w:tab w:val="left" w:pos="6915"/>
              </w:tabs>
              <w:jc w:val="left"/>
              <w:rPr>
                <w:rFonts w:ascii="宋体" w:hAnsi="宋体" w:cs="宋体"/>
                <w:bCs/>
                <w:sz w:val="24"/>
              </w:rPr>
            </w:pPr>
            <w:r>
              <w:rPr>
                <w:rFonts w:hint="eastAsia" w:ascii="宋体" w:hAnsi="宋体" w:cs="宋体"/>
                <w:bCs/>
                <w:sz w:val="24"/>
                <w:lang w:val="en-US" w:eastAsia="zh-CN"/>
              </w:rPr>
              <w:t>1.</w:t>
            </w:r>
            <w:r>
              <w:rPr>
                <w:rFonts w:ascii="宋体" w:hAnsi="宋体" w:cs="宋体"/>
                <w:bCs/>
                <w:sz w:val="24"/>
              </w:rPr>
              <w:t>保修期：12个月（保修期自设备验收合格之日起计算）；</w:t>
            </w:r>
          </w:p>
          <w:p w14:paraId="0A28B989">
            <w:pPr>
              <w:numPr>
                <w:ilvl w:val="0"/>
                <w:numId w:val="0"/>
              </w:numPr>
              <w:tabs>
                <w:tab w:val="left" w:pos="6915"/>
              </w:tabs>
              <w:jc w:val="left"/>
              <w:rPr>
                <w:rFonts w:ascii="宋体" w:hAnsi="宋体" w:cs="宋体"/>
                <w:bCs/>
                <w:sz w:val="24"/>
              </w:rPr>
            </w:pPr>
            <w:r>
              <w:rPr>
                <w:rFonts w:hint="eastAsia" w:ascii="宋体" w:hAnsi="宋体" w:cs="宋体"/>
                <w:bCs/>
                <w:sz w:val="24"/>
                <w:lang w:val="en-US" w:eastAsia="zh-CN"/>
              </w:rPr>
              <w:t>2.</w:t>
            </w:r>
            <w:r>
              <w:rPr>
                <w:rFonts w:ascii="宋体" w:hAnsi="宋体" w:cs="宋体"/>
                <w:bCs/>
                <w:sz w:val="24"/>
              </w:rPr>
              <w:t>保修期内，因设备自身质量问题导致的故障，供应商应免费维修或更换零部件；</w:t>
            </w:r>
          </w:p>
          <w:p w14:paraId="381394FD">
            <w:pPr>
              <w:numPr>
                <w:ilvl w:val="0"/>
                <w:numId w:val="0"/>
              </w:numPr>
              <w:tabs>
                <w:tab w:val="left" w:pos="6915"/>
              </w:tabs>
              <w:jc w:val="left"/>
              <w:rPr>
                <w:rFonts w:ascii="宋体" w:hAnsi="宋体" w:cs="宋体"/>
                <w:bCs/>
                <w:sz w:val="24"/>
              </w:rPr>
            </w:pPr>
            <w:r>
              <w:rPr>
                <w:rFonts w:hint="eastAsia" w:ascii="宋体" w:hAnsi="宋体" w:cs="宋体"/>
                <w:bCs/>
                <w:sz w:val="24"/>
                <w:lang w:val="en-US" w:eastAsia="zh-CN"/>
              </w:rPr>
              <w:t>3.</w:t>
            </w:r>
            <w:r>
              <w:rPr>
                <w:rFonts w:hint="eastAsia" w:ascii="宋体" w:hAnsi="宋体" w:cs="宋体"/>
                <w:bCs/>
                <w:sz w:val="24"/>
              </w:rPr>
              <w:t>仪器到货后，</w:t>
            </w:r>
            <w:r>
              <w:rPr>
                <w:rFonts w:ascii="宋体" w:hAnsi="宋体" w:cs="宋体"/>
                <w:bCs/>
                <w:sz w:val="24"/>
              </w:rPr>
              <w:t>供应商应</w:t>
            </w:r>
            <w:r>
              <w:rPr>
                <w:rFonts w:hint="eastAsia" w:ascii="宋体" w:hAnsi="宋体" w:cs="宋体"/>
                <w:bCs/>
                <w:sz w:val="24"/>
              </w:rPr>
              <w:t>派工程师</w:t>
            </w:r>
            <w:r>
              <w:rPr>
                <w:rFonts w:ascii="宋体" w:hAnsi="宋体" w:cs="宋体"/>
                <w:bCs/>
                <w:sz w:val="24"/>
              </w:rPr>
              <w:t>免费上门安装</w:t>
            </w:r>
            <w:r>
              <w:rPr>
                <w:rFonts w:hint="eastAsia" w:ascii="宋体" w:hAnsi="宋体" w:cs="宋体"/>
                <w:bCs/>
                <w:sz w:val="24"/>
              </w:rPr>
              <w:t>，提供</w:t>
            </w:r>
            <w:r>
              <w:rPr>
                <w:rFonts w:ascii="宋体" w:hAnsi="宋体" w:cs="宋体"/>
                <w:bCs/>
                <w:sz w:val="24"/>
              </w:rPr>
              <w:t>调试服务及操作培训；</w:t>
            </w:r>
          </w:p>
          <w:p w14:paraId="625A75E1">
            <w:pPr>
              <w:tabs>
                <w:tab w:val="left" w:pos="6915"/>
              </w:tabs>
              <w:jc w:val="both"/>
              <w:rPr>
                <w:rFonts w:hint="eastAsia" w:ascii="Times New Roman" w:hAnsi="Times New Roman" w:eastAsia="宋体" w:cs="Times New Roman"/>
                <w:sz w:val="24"/>
                <w:szCs w:val="24"/>
              </w:rPr>
            </w:pPr>
            <w:r>
              <w:rPr>
                <w:rFonts w:hint="eastAsia" w:ascii="宋体" w:hAnsi="宋体" w:cs="宋体"/>
                <w:bCs/>
                <w:sz w:val="24"/>
                <w:lang w:val="en-US" w:eastAsia="zh-CN"/>
              </w:rPr>
              <w:t>4.</w:t>
            </w:r>
            <w:r>
              <w:rPr>
                <w:rFonts w:ascii="宋体" w:hAnsi="宋体" w:cs="宋体"/>
                <w:bCs/>
                <w:sz w:val="24"/>
              </w:rPr>
              <w:t>供应商应提供终身技术支持服务，设备故障时应在48小时内响应并提供解决方案。</w:t>
            </w:r>
          </w:p>
        </w:tc>
        <w:tc>
          <w:tcPr>
            <w:tcW w:w="1201" w:type="dxa"/>
            <w:vAlign w:val="center"/>
          </w:tcPr>
          <w:p w14:paraId="5D3E4FB5">
            <w:pPr>
              <w:spacing w:line="240" w:lineRule="atLeast"/>
              <w:jc w:val="center"/>
              <w:rPr>
                <w:sz w:val="24"/>
                <w:szCs w:val="24"/>
              </w:rPr>
            </w:pPr>
          </w:p>
        </w:tc>
        <w:tc>
          <w:tcPr>
            <w:tcW w:w="992" w:type="dxa"/>
            <w:vAlign w:val="center"/>
          </w:tcPr>
          <w:p w14:paraId="643744E8">
            <w:pPr>
              <w:spacing w:line="240" w:lineRule="atLeast"/>
              <w:jc w:val="center"/>
              <w:rPr>
                <w:sz w:val="24"/>
                <w:szCs w:val="24"/>
              </w:rPr>
            </w:pPr>
          </w:p>
        </w:tc>
      </w:tr>
    </w:tbl>
    <w:p w14:paraId="00BC0982">
      <w:pPr>
        <w:wordWrap w:val="0"/>
        <w:ind w:right="840"/>
        <w:jc w:val="right"/>
        <w:rPr>
          <w:rFonts w:hint="default" w:eastAsiaTheme="minorEastAsia"/>
          <w:lang w:val="en-US" w:eastAsia="zh-CN"/>
        </w:rPr>
      </w:pPr>
      <w:r>
        <w:rPr>
          <w:rFonts w:hint="eastAsia"/>
          <w:sz w:val="24"/>
          <w:szCs w:val="24"/>
          <w:lang w:val="en-US" w:eastAsia="zh-CN"/>
        </w:rPr>
        <w:t xml:space="preserve">  </w:t>
      </w:r>
      <w:r>
        <w:rPr>
          <w:sz w:val="24"/>
          <w:szCs w:val="24"/>
        </w:rPr>
        <w:t>公司名称</w:t>
      </w:r>
      <w:r>
        <w:rPr>
          <w:rFonts w:hint="eastAsia"/>
          <w:sz w:val="24"/>
          <w:szCs w:val="24"/>
        </w:rPr>
        <w:t>（盖章）：</w:t>
      </w:r>
      <w:r>
        <w:rPr>
          <w:rFonts w:hint="eastAsia"/>
          <w:sz w:val="24"/>
          <w:szCs w:val="24"/>
        </w:rPr>
        <w:br w:type="textWrapping"/>
      </w:r>
      <w:r>
        <w:rPr>
          <w:sz w:val="24"/>
          <w:szCs w:val="24"/>
        </w:rPr>
        <w:t>日期</w:t>
      </w:r>
      <w:r>
        <w:rPr>
          <w:rFonts w:hint="eastAsia"/>
          <w:sz w:val="24"/>
          <w:szCs w:val="24"/>
        </w:rPr>
        <w:t>：</w:t>
      </w:r>
      <w:r>
        <w:rPr>
          <w:rFonts w:hint="eastAsia"/>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EF6C24"/>
    <w:rsid w:val="04EF6C24"/>
    <w:rsid w:val="38C84348"/>
    <w:rsid w:val="60854C98"/>
    <w:rsid w:val="7EF22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1554</Words>
  <Characters>1836</Characters>
  <Lines>0</Lines>
  <Paragraphs>0</Paragraphs>
  <TotalTime>3</TotalTime>
  <ScaleCrop>false</ScaleCrop>
  <LinksUpToDate>false</LinksUpToDate>
  <CharactersWithSpaces>1840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2026-07-17T08:11:00Z</dcterms:created>
  <dc:creator>DELL</dc:creator>
  <cp:lastModifiedBy>DELL</cp:lastModifiedBy>
  <dcterms:modified xsi:type="dcterms:W3CDTF">2026-08-18T06:34:49Z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989F85A4646F47CA9CAEE7B3BEF15FE4_13</vt:lpwstr>
  </property>
  <property fmtid="{D5CDD505-2E9C-101B-9397-08002B2CF9AE}" pid="4" name="KSOTemplateDocerSaveRecord">
    <vt:lpwstr>eyJoZGlkIjoiN2RmNGQ2MDc0ZGFiNmIyNjNmMmJiNzcxMzg1OWQzY2YifQ==</vt:lpwstr>
  </property>
</Properties>
</file>