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26DA6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6" w:hRule="atLeast"/>
        </w:trPr>
        <w:tc>
          <w:tcPr>
            <w:tcW w:w="705" w:type="dxa"/>
            <w:vAlign w:val="center"/>
          </w:tcPr>
          <w:p w14:paraId="0A2A56E6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1ED0CCFE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1A273360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494A33B0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偏离说明</w:t>
            </w:r>
          </w:p>
          <w:p w14:paraId="5CBDD64C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(无偏离/正偏离/负偏离)</w:t>
            </w:r>
          </w:p>
        </w:tc>
        <w:tc>
          <w:tcPr>
            <w:tcW w:w="992" w:type="dxa"/>
            <w:vAlign w:val="center"/>
          </w:tcPr>
          <w:p w14:paraId="37A5879A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偏离值</w:t>
            </w:r>
          </w:p>
        </w:tc>
      </w:tr>
      <w:tr w14:paraId="65D9C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705" w:type="dxa"/>
            <w:vAlign w:val="center"/>
          </w:tcPr>
          <w:p w14:paraId="2AF23B8A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39C42"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真空镜箱</w:t>
            </w:r>
          </w:p>
        </w:tc>
        <w:tc>
          <w:tcPr>
            <w:tcW w:w="5105" w:type="dxa"/>
            <w:vAlign w:val="center"/>
          </w:tcPr>
          <w:p w14:paraId="07A1E3C0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数量：1个</w:t>
            </w:r>
          </w:p>
          <w:p w14:paraId="78B3C406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真空主体及其相关各零部件：均采用304牌号（0Cr18Ni9）优质不锈钢材料制成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。</w:t>
            </w:r>
          </w:p>
          <w:p w14:paraId="237420AE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对真空室体及其相关零、部件，均按照超高真空部品的加工工艺规范为准，完成机加工和清洗及组焊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并进行高温除氢处理，内表面粗糙度应当满足：Ra≤0.8μm。</w:t>
            </w:r>
          </w:p>
          <w:p w14:paraId="3916687C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对真空室体及其相关零、部件，所有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锐边倒钝，去尖角、毛刺或飞边；所有元件在焊接和装配前需清洁处理，去除油脂、污物、灰尘等，并干燥保存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。</w:t>
            </w:r>
          </w:p>
          <w:p w14:paraId="6AA70F6F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采用氩弧焊方式完成各真空部件的组焊，焊接要求焊透，焊缝以外无烧熔斑点及焊料流淌，焊接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完成后必须对焊缝进行外观检查，焊缝表面不得有裂缝、气孔、夹渣及咬边等焊接缺陷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。</w:t>
            </w:r>
          </w:p>
          <w:p w14:paraId="6E654799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法兰基本尺寸基于GB/Z 25756-2010，加工完成后要求松套法兰可自由旋转，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真空法兰表面硬度&gt;140HB（提供检测报告），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焊接时法兰螺栓孔在中心线两侧对称分布，不对称度≤0.1mm。</w:t>
            </w:r>
          </w:p>
          <w:p w14:paraId="2BB33C82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镜箱极限真空≤5×10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</w:rPr>
              <w:t xml:space="preserve">-5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Pa，漏率≤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superscript"/>
              </w:rPr>
              <w:t xml:space="preserve">-12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Pa·m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/s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(以氦质谱检漏仪的检测结果为准)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。</w:t>
            </w:r>
          </w:p>
          <w:p w14:paraId="29A83C33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真空镜箱进行热处理以消除应力，并提供报告。</w:t>
            </w:r>
          </w:p>
          <w:p w14:paraId="491B0231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甲方提供镜箱初步设计方案，乙方根据甲方提供的初步方案，进行细化，提供solidwork模型文件及加工图纸，经甲方确认后进行加工。</w:t>
            </w:r>
          </w:p>
          <w:p w14:paraId="46EFEAF4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镜箱最终方案需经过受力模拟分析，要求不锈钢板在厚度方向形变应小于厚度的千分之二，分析报告经甲方确认后方可进行加工。</w:t>
            </w:r>
          </w:p>
          <w:p w14:paraId="3920D085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提供镜箱及其内部光学元件支撑件的振动固有频率分析报告，并根据分析结果改进支撑结构。</w:t>
            </w:r>
          </w:p>
          <w:p w14:paraId="00F67B89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提供一个液氮冷阱，冷阱表面温度应能降至 -180°C 以下。</w:t>
            </w:r>
          </w:p>
        </w:tc>
        <w:tc>
          <w:tcPr>
            <w:tcW w:w="1418" w:type="dxa"/>
            <w:vAlign w:val="center"/>
          </w:tcPr>
          <w:p w14:paraId="19D319BB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3D236C6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2447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7CEB27F1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B23CA"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644A9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F241D0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图纸确认后3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个月内</w:t>
            </w:r>
          </w:p>
          <w:p w14:paraId="5658766C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一次性交付</w:t>
            </w:r>
          </w:p>
          <w:p w14:paraId="5D6545F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预付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合同总金额的4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货到甲方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验收合格后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支付合同总金额的6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</w:t>
            </w:r>
          </w:p>
          <w:p w14:paraId="1F9F633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提供出厂检测报告，需要包含材料证明、真空检测报告、受力分析报告、振动分析报告。现场验收指标极限真空≤5×10-5 Pa，漏率≤5×10-12 Pa·m3/s</w:t>
            </w:r>
            <w:bookmarkStart w:id="0" w:name="_GoBack"/>
            <w:bookmarkEnd w:id="0"/>
          </w:p>
          <w:p w14:paraId="74599925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质保期一年</w:t>
            </w:r>
          </w:p>
        </w:tc>
        <w:tc>
          <w:tcPr>
            <w:tcW w:w="1418" w:type="dxa"/>
            <w:vAlign w:val="center"/>
          </w:tcPr>
          <w:p w14:paraId="4C7A2B1C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3CA8C0F">
            <w:pPr>
              <w:spacing w:line="2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0DED7F3B">
      <w:pPr>
        <w:ind w:right="840"/>
        <w:rPr>
          <w:rFonts w:hint="eastAsia" w:ascii="宋体" w:hAnsi="宋体" w:eastAsia="宋体" w:cs="宋体"/>
          <w:sz w:val="24"/>
          <w:szCs w:val="24"/>
        </w:rPr>
      </w:pPr>
    </w:p>
    <w:p w14:paraId="287DDEA5">
      <w:pPr>
        <w:ind w:right="840" w:firstLine="5040" w:firstLineChars="2100"/>
        <w:rPr>
          <w:rFonts w:hint="eastAsia" w:ascii="宋体" w:hAnsi="宋体" w:eastAsia="宋体" w:cs="宋体"/>
          <w:sz w:val="24"/>
          <w:szCs w:val="24"/>
        </w:rPr>
      </w:pPr>
    </w:p>
    <w:p w14:paraId="663E47C9">
      <w:pPr>
        <w:ind w:right="840" w:firstLine="5040" w:firstLineChars="2100"/>
        <w:rPr>
          <w:rFonts w:hint="eastAsia" w:ascii="宋体" w:hAnsi="宋体" w:eastAsia="宋体" w:cs="宋体"/>
          <w:sz w:val="24"/>
          <w:szCs w:val="24"/>
        </w:rPr>
      </w:pPr>
    </w:p>
    <w:p w14:paraId="6B36AD4F">
      <w:pPr>
        <w:ind w:right="840" w:firstLine="5040" w:firstLineChars="2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公司名称（盖章）：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日期：</w:t>
      </w:r>
    </w:p>
    <w:p w14:paraId="24A14097"/>
    <w:p w14:paraId="780FD7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23639"/>
    <w:multiLevelType w:val="multilevel"/>
    <w:tmpl w:val="4A7236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04221"/>
    <w:rsid w:val="25FB09DE"/>
    <w:rsid w:val="50A0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2025-12-10T01:32:00Z</dcterms:created>
  <dc:creator>amour</dc:creator>
  <cp:lastModifiedBy>amour</cp:lastModifiedBy>
  <dcterms:modified xsi:type="dcterms:W3CDTF">2025-12-10T01:36:21Z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2F0BA9C859244A90BEA475CA3DB88DE3_11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