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5" w:name="_GoBack"/>
      <w:r>
        <w:rPr>
          <w:rFonts w:hint="eastAsia"/>
          <w:sz w:val="36"/>
        </w:rPr>
        <w:t>技术指标供应商确认表</w:t>
      </w:r>
    </w:p>
    <w:bookmarkEnd w:id="5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5C66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13BCA77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58CD136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01FD134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79C88BB3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B2B702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4DE69A2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FE7F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705" w:type="dxa"/>
            <w:vAlign w:val="center"/>
          </w:tcPr>
          <w:p w14:paraId="21B5D5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E818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  <w:t>束斑检测器&amp;能谱检测器</w:t>
            </w:r>
          </w:p>
        </w:tc>
        <w:tc>
          <w:tcPr>
            <w:tcW w:w="5428" w:type="dxa"/>
            <w:vAlign w:val="center"/>
          </w:tcPr>
          <w:p w14:paraId="31FA7AD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采购的产品包括束斑检测器6套；能谱检测器2套；束斑成像镜箱6套，能谱成像镜箱2套。以上产品还需要配套软硬件、现场安装调试服务。基本功能要求：对直线加速器电子束的束斑尺度和发射度进行测量；对电子束能量和能散进行测量，并通过成像镜箱实现光路布局和图像采集。参数要求为：</w:t>
            </w:r>
          </w:p>
          <w:p w14:paraId="71464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0" w:leftChars="200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一、束斑检测器</w:t>
            </w:r>
          </w:p>
          <w:p w14:paraId="2FA2B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（1）纵向长度150mm，两端CF35固定法兰；</w:t>
            </w:r>
          </w:p>
          <w:p w14:paraId="115ED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（2）除真空观察窗外，所有金属真空部件及焊缝位置要求相对磁导率μ≤1.05；</w:t>
            </w:r>
          </w:p>
          <w:p w14:paraId="7EA05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（3）极限真空度≤5E-9Torr，罩检总漏率≤2E-9Torr·L/s；</w:t>
            </w:r>
          </w:p>
          <w:p w14:paraId="67AFB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（4）截面靶与管道中心线成45°倾斜，角度误差≤0.3°；</w:t>
            </w:r>
          </w:p>
          <w:p w14:paraId="5A040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（5）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每套束斑检测器3块靶片：标定靶、YAG靶、OTR靶，各靶片大小：32mm×21mm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；</w:t>
            </w:r>
          </w:p>
          <w:p w14:paraId="67FE7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（6）截面靶运动行程≥115mm，定位精度≤0.05mm，重复定位精度≤0.035mm；</w:t>
            </w:r>
          </w:p>
          <w:p w14:paraId="28699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（7）标定靶中心运行至与管道中心重合时，分别记录与电/极限限位距离，精确到0.01mm；</w:t>
            </w:r>
          </w:p>
          <w:p w14:paraId="750EC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（8）相机和照明各配一个石英观察窗，照明灯不得影响光路，照明开关采用远程控制；</w:t>
            </w:r>
          </w:p>
          <w:p w14:paraId="52B6B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（9）建立坐标系：入口法兰面中心为原点，沿束流方向为Z轴，竖直向上为Y轴，水平横向为X轴。以此分别测量靶标球在坐标系内的三坐标位置，精确到0.01mm；</w:t>
            </w:r>
          </w:p>
          <w:p w14:paraId="47751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（10）真空室支撑调节范围：水平≥±10mm，高程≥±20mm；</w:t>
            </w:r>
          </w:p>
          <w:p w14:paraId="719E9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（11）</w:t>
            </w:r>
            <w:bookmarkStart w:id="0" w:name="OLE_LINK5"/>
            <w:bookmarkStart w:id="1" w:name="OLE_LINK2"/>
            <w:r>
              <w:rPr>
                <w:rFonts w:hint="eastAsia" w:ascii="宋体" w:hAnsi="宋体" w:eastAsia="宋体" w:cs="宋体"/>
                <w:sz w:val="21"/>
                <w:szCs w:val="21"/>
              </w:rPr>
              <w:t>OTR靶片光洁度要求≤5.3E-5mm</w:t>
            </w:r>
            <w:bookmarkEnd w:id="0"/>
            <w:bookmarkEnd w:id="1"/>
            <w:r>
              <w:rPr>
                <w:rFonts w:hint="eastAsia" w:ascii="宋体" w:hAnsi="宋体" w:eastAsia="宋体" w:cs="宋体"/>
                <w:sz w:val="21"/>
                <w:szCs w:val="21"/>
              </w:rPr>
              <w:t>；</w:t>
            </w:r>
          </w:p>
          <w:p w14:paraId="79CC0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2" w:name="OLE_LINK1"/>
            <w:r>
              <w:rPr>
                <w:rFonts w:hint="eastAsia" w:ascii="宋体" w:hAnsi="宋体" w:eastAsia="宋体" w:cs="宋体"/>
                <w:sz w:val="21"/>
                <w:szCs w:val="21"/>
              </w:rPr>
              <w:t>（12）2相4线制步进电机，额定扭矩≥2.3N·m，能实现对每套系统的独立运动控制；</w:t>
            </w:r>
          </w:p>
          <w:p w14:paraId="6B32D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（13）束流进出口法兰与束流轴线的同轴度≤0.1mm；垂直度≤0.1mm；</w:t>
            </w:r>
          </w:p>
          <w:bookmarkEnd w:id="2"/>
          <w:p w14:paraId="15697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（14）电机控制器采用EtherCAT总线，19英寸标准机箱，最短循环控制周期≤50μs；提供基于EPICSPV的控制方法，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使用chrony实现时间同步功能，同时提供采用Phoebus开发的OPI界面。</w:t>
            </w:r>
          </w:p>
          <w:p w14:paraId="0942B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0" w:leftChars="200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二、能谱检测器</w:t>
            </w:r>
          </w:p>
          <w:p w14:paraId="5FBB5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（1）纵向长度210mm，两端CF63固定法兰；</w:t>
            </w:r>
          </w:p>
          <w:p w14:paraId="312D8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（2）除真空观察窗外，所有金属真空部件及焊缝位置要求相对磁导率μ≤1.05；</w:t>
            </w:r>
          </w:p>
          <w:p w14:paraId="39FBE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（3）极限真空度≤5E-9Torr，罩检总漏率≤2E-9Torr·L/s；</w:t>
            </w:r>
          </w:p>
          <w:p w14:paraId="108C9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（4）能谱靶与管道中心线成45°倾斜，角度误差≤0.3°，靶片大小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57mm×32mm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；</w:t>
            </w:r>
          </w:p>
          <w:p w14:paraId="7D4B3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（5）能谱靶运动行程≥70mm，定位精度≤0.05mm，重复定位精度≤0.035mm；</w:t>
            </w:r>
          </w:p>
          <w:p w14:paraId="48843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（6）能谱靶中心运行至与管道中心重合时，分别记录与电/极限限位距离，精确到0.01mm；</w:t>
            </w:r>
          </w:p>
          <w:p w14:paraId="24851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（7）相机和照明各配一个石英观察窗，照明灯不得影响光路，照明开关采用远程控制；</w:t>
            </w:r>
          </w:p>
          <w:p w14:paraId="397EB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（8）建立坐标系：入口法兰面中心为原点，沿束流方向为Z轴，竖直向上为Y轴，水平横向为X轴。以此分别测量靶标球在坐标系内的三坐标位置，精确到0.01mm；</w:t>
            </w:r>
          </w:p>
          <w:p w14:paraId="1F86F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（9）真空室支撑调节范围：水平≥±10mm，高程≥±20mm；</w:t>
            </w:r>
          </w:p>
          <w:p w14:paraId="10F07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（10）2相4线制步进电机，额定扭矩≥2.3N·m，能实现对每套系统的独立运动控制；</w:t>
            </w:r>
          </w:p>
          <w:p w14:paraId="74C3D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（11）束流进出口法兰与束流轴线的同轴度≤0.1mm；垂直度≤0.1mm；</w:t>
            </w:r>
          </w:p>
          <w:p w14:paraId="74756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（12）电机控制器采用EtherCAT总线，19英寸标准机箱，最短循环控制周期≤50μs；提供基于EPICS PV的控制方法；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使用chrony实现时间同步功能，提供采用Phoebus 开发的OPI 界面。</w:t>
            </w:r>
          </w:p>
          <w:p w14:paraId="570C4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0" w:leftChars="200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三、束斑成像镜箱</w:t>
            </w:r>
          </w:p>
          <w:p w14:paraId="0CF8F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（1）独立可调节硬性支撑结构，具备光路精细调节结构，满足成像调节需求；</w:t>
            </w:r>
          </w:p>
          <w:p w14:paraId="46329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2）光学镜头：工作距离≥746mm，放大倍率≥0.2，光学畸变&lt;0.01%，物方视场范围&gt;32mm×21mm；</w:t>
            </w:r>
          </w:p>
          <w:p w14:paraId="1D7C2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（3）工业相机：≥600万像素，靶面大小与镜头像方视场大小适配，芯片像元大小≤2.4μm，数据接口Gigabit Ethernet(1000 Mbit/s)兼容Fast Ethernet(100 Mbit/s)，曝光时间25 μs-2.5 sec；</w:t>
            </w:r>
          </w:p>
          <w:p w14:paraId="4B681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0" w:leftChars="200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四、能谱成像镜箱</w:t>
            </w:r>
          </w:p>
          <w:p w14:paraId="73DD2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（1）独立可调节硬性支撑结构，具备光路精细调节结构，满足成像调节需求；</w:t>
            </w:r>
          </w:p>
          <w:p w14:paraId="06104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（2）光学镜头：工作距离≥600mm，焦距≥75mm，光学畸变&lt;0.3%，物方视场范围&gt;61mm×36mm；</w:t>
            </w:r>
          </w:p>
          <w:p w14:paraId="38921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（3）工业相机：≥600万像素，靶面大小与镜头像方视场大小适配，芯片像元大小≤2.4μm，数据接口Gigabit Ethernet(1000 Mbit/s)兼容Fast Ethernet(100 Mbit/s)，曝光时间25 μs-2.5 sec。</w:t>
            </w:r>
          </w:p>
          <w:p w14:paraId="36498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0" w:leftChars="200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五、现场安装调试服务</w:t>
            </w:r>
          </w:p>
          <w:p w14:paraId="0BEDB81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firstLine="420" w:firstLineChars="20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专人现场配合加速器安装，现场光路调试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27" w:type="dxa"/>
            <w:vAlign w:val="center"/>
          </w:tcPr>
          <w:p w14:paraId="30C0BD28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784C7C69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E65C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705" w:type="dxa"/>
            <w:vAlign w:val="center"/>
          </w:tcPr>
          <w:p w14:paraId="08DAE55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EA0B0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合同签订后3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个月内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。</w:t>
            </w:r>
          </w:p>
          <w:p w14:paraId="2142BA7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交付进度：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一次性交付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。</w:t>
            </w:r>
          </w:p>
          <w:p w14:paraId="7B759BB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30%预付；出厂测试合格并到货，付60%合同款；</w:t>
            </w:r>
            <w:bookmarkStart w:id="3" w:name="OLE_LINK42"/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现场调试</w:t>
            </w:r>
            <w:bookmarkEnd w:id="3"/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合格后，付10%尾款。</w:t>
            </w:r>
          </w:p>
          <w:p w14:paraId="3666679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验收指标及验收要求：</w:t>
            </w:r>
          </w:p>
          <w:p w14:paraId="119FF660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除真空观察窗外，所有金属真空部件及焊缝位置要求相对磁导率μ≤1.05；</w:t>
            </w:r>
          </w:p>
          <w:p w14:paraId="40BB8C67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极限真空度≤5E-9Torr，罩检总漏率≤2E-9Torr·L/s；</w:t>
            </w:r>
          </w:p>
          <w:p w14:paraId="760628DA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截面靶运动行程≥115mm，定位精度≤0.05mm，重复定位精度≤0.035mm；</w:t>
            </w:r>
          </w:p>
          <w:p w14:paraId="655A2070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真空室支撑调节范围：水平≥±10mm，高程≥±20mm；</w:t>
            </w:r>
          </w:p>
          <w:p w14:paraId="60517FDB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能谱靶运动行程≥70mm，定位精度≤0.05mm，重复定位精度≤0.035mm；</w:t>
            </w:r>
          </w:p>
          <w:p w14:paraId="7F3A7B45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能够使用phoebus上位机实现对电机启动、停止、正向运动、反向运动，相对定位运动、绝对定位运动、回原点的控制，能够可靠的限位，同时能够提供电机当前位置的回读值。</w:t>
            </w:r>
          </w:p>
          <w:p w14:paraId="63199A51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能够使用phoebus上位机实现对相机曝光时间、采样间隔、触发模式等参数的调整，以及对所获取图像的ROI进行高斯拟合。</w:t>
            </w:r>
          </w:p>
          <w:p w14:paraId="084B7D1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4" w:name="OLE_LINK37"/>
            <w:r>
              <w:rPr>
                <w:rFonts w:hint="eastAsia" w:ascii="宋体" w:hAnsi="宋体" w:eastAsia="宋体" w:cs="宋体"/>
                <w:sz w:val="21"/>
                <w:szCs w:val="21"/>
              </w:rPr>
              <w:t>要求提供以上的所有参数的出厂测试报告</w:t>
            </w:r>
            <w:bookmarkEnd w:id="4"/>
            <w:r>
              <w:rPr>
                <w:rFonts w:hint="eastAsia" w:ascii="宋体" w:hAnsi="宋体" w:eastAsia="宋体" w:cs="宋体"/>
                <w:sz w:val="21"/>
                <w:szCs w:val="21"/>
              </w:rPr>
              <w:t>；厂家提供准直标定数据。</w:t>
            </w:r>
          </w:p>
          <w:p w14:paraId="44AD8BF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保修及售后服务：</w:t>
            </w:r>
          </w:p>
          <w:p w14:paraId="41C6C75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服务网点:不限;电话支持:7</w:t>
            </w:r>
            <w:r>
              <w:rPr>
                <w:rFonts w:hint="default" w:ascii="Arial" w:hAnsi="Arial" w:eastAsia="宋体" w:cs="Arial"/>
                <w:color w:val="222222"/>
                <w:sz w:val="21"/>
                <w:szCs w:val="21"/>
                <w:shd w:val="clear" w:color="auto" w:fill="FFFFFF"/>
              </w:rPr>
              <w:t>×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24小时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服务年限:五年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服务时限:报修后8小时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保修期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shd w:val="clear" w:color="auto" w:fill="FFFFFF"/>
              </w:rPr>
              <w:t>三年。</w:t>
            </w:r>
          </w:p>
        </w:tc>
        <w:tc>
          <w:tcPr>
            <w:tcW w:w="1227" w:type="dxa"/>
            <w:vAlign w:val="center"/>
          </w:tcPr>
          <w:p w14:paraId="21D5322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38629B08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1EFEFB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4764A"/>
    <w:multiLevelType w:val="singleLevel"/>
    <w:tmpl w:val="09E4764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9477A"/>
    <w:rsid w:val="6909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2026-03-26T07:09:00Z</dcterms:created>
  <dc:creator>DELL</dc:creator>
  <cp:lastModifiedBy>DELL</cp:lastModifiedBy>
  <dcterms:modified xsi:type="dcterms:W3CDTF">2026-03-26T07:20:44Z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EFFF0119439C40DAAE46DDC80BEF7256_11</vt:lpwstr>
  </property>
  <property fmtid="{D5CDD505-2E9C-101B-9397-08002B2CF9AE}" pid="4" name="KSOTemplateDocerSaveRecord">
    <vt:lpwstr>eyJoZGlkIjoiN2RmNGQ2MDc0ZGFiNmIyNjNmMmJiNzcxMzg1OWQzY2YifQ==</vt:lpwstr>
  </property>
</Properties>
</file>