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DC9955E">
      <w:pPr>
        <w:jc w:val="center"/>
        <w:rPr>
          <w:sz w:val="36"/>
        </w:rPr>
      </w:pPr>
      <w:r>
        <w:rPr>
          <w:sz w:val="36"/>
        </w:rPr>
        <w:t>中国科学技术大学国家同步辐射实验室</w:t>
      </w:r>
    </w:p>
    <w:p w14:paraId="0973E65B">
      <w:pPr>
        <w:jc w:val="center"/>
        <w:rPr>
          <w:sz w:val="36"/>
        </w:rPr>
      </w:pPr>
      <w:r>
        <w:rPr>
          <w:rFonts w:hint="eastAsia"/>
          <w:sz w:val="36"/>
        </w:rPr>
        <w:t>技术指标供应商确认表</w:t>
      </w:r>
    </w:p>
    <w:p w14:paraId="3E58F52B"/>
    <w:tbl>
      <w:tblPr>
        <w:tblStyle w:val="6"/>
        <w:tblW w:w="10098" w:type="dxa"/>
        <w:tblInd w:w="-5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5"/>
        <w:gridCol w:w="1143"/>
        <w:gridCol w:w="5743"/>
        <w:gridCol w:w="1464"/>
        <w:gridCol w:w="1023"/>
      </w:tblGrid>
      <w:tr w14:paraId="3979FF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3" w:hRule="atLeast"/>
        </w:trPr>
        <w:tc>
          <w:tcPr>
            <w:tcW w:w="725" w:type="dxa"/>
            <w:vAlign w:val="center"/>
          </w:tcPr>
          <w:p w14:paraId="75C250BA">
            <w:pPr>
              <w:spacing w:line="240" w:lineRule="atLeast"/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序号</w:t>
            </w:r>
          </w:p>
        </w:tc>
        <w:tc>
          <w:tcPr>
            <w:tcW w:w="1143" w:type="dxa"/>
            <w:vAlign w:val="center"/>
          </w:tcPr>
          <w:p w14:paraId="3A9FF52B">
            <w:pPr>
              <w:spacing w:line="240" w:lineRule="atLeast"/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名称</w:t>
            </w:r>
          </w:p>
        </w:tc>
        <w:tc>
          <w:tcPr>
            <w:tcW w:w="5743" w:type="dxa"/>
            <w:vAlign w:val="center"/>
          </w:tcPr>
          <w:p w14:paraId="258D475E">
            <w:pPr>
              <w:spacing w:line="240" w:lineRule="atLeast"/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技术指标</w:t>
            </w:r>
          </w:p>
        </w:tc>
        <w:tc>
          <w:tcPr>
            <w:tcW w:w="1464" w:type="dxa"/>
            <w:vAlign w:val="center"/>
          </w:tcPr>
          <w:p w14:paraId="37F7A556">
            <w:pPr>
              <w:spacing w:line="240" w:lineRule="atLeas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偏离说明</w:t>
            </w:r>
          </w:p>
          <w:p w14:paraId="328E92F5">
            <w:pPr>
              <w:spacing w:line="240" w:lineRule="atLeast"/>
              <w:jc w:val="center"/>
              <w:rPr>
                <w:sz w:val="24"/>
              </w:rPr>
            </w:pPr>
            <w:r>
              <w:rPr>
                <w:rFonts w:hint="eastAsia"/>
                <w:szCs w:val="21"/>
              </w:rPr>
              <w:t>(</w:t>
            </w:r>
            <w:r>
              <w:rPr>
                <w:szCs w:val="21"/>
              </w:rPr>
              <w:t>无偏离</w:t>
            </w:r>
            <w:r>
              <w:rPr>
                <w:rFonts w:hint="eastAsia"/>
                <w:szCs w:val="21"/>
              </w:rPr>
              <w:t>/</w:t>
            </w:r>
            <w:r>
              <w:rPr>
                <w:szCs w:val="21"/>
              </w:rPr>
              <w:t>正偏离</w:t>
            </w:r>
            <w:r>
              <w:rPr>
                <w:rFonts w:hint="eastAsia"/>
                <w:szCs w:val="21"/>
              </w:rPr>
              <w:t>/</w:t>
            </w:r>
            <w:r>
              <w:rPr>
                <w:szCs w:val="21"/>
              </w:rPr>
              <w:t>负偏离</w:t>
            </w:r>
            <w:r>
              <w:rPr>
                <w:rFonts w:hint="eastAsia"/>
                <w:szCs w:val="21"/>
              </w:rPr>
              <w:t>)</w:t>
            </w:r>
          </w:p>
        </w:tc>
        <w:tc>
          <w:tcPr>
            <w:tcW w:w="1023" w:type="dxa"/>
            <w:vAlign w:val="center"/>
          </w:tcPr>
          <w:p w14:paraId="22A89C1E">
            <w:pPr>
              <w:spacing w:line="240" w:lineRule="atLeast"/>
              <w:jc w:val="center"/>
              <w:rPr>
                <w:sz w:val="24"/>
              </w:rPr>
            </w:pPr>
            <w:r>
              <w:rPr>
                <w:rFonts w:hint="eastAsia"/>
                <w:sz w:val="22"/>
              </w:rPr>
              <w:t>偏离值</w:t>
            </w:r>
          </w:p>
        </w:tc>
      </w:tr>
      <w:tr w14:paraId="394384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60" w:hRule="atLeast"/>
        </w:trPr>
        <w:tc>
          <w:tcPr>
            <w:tcW w:w="725" w:type="dxa"/>
            <w:vAlign w:val="center"/>
          </w:tcPr>
          <w:p w14:paraId="185CA09D">
            <w:pPr>
              <w:spacing w:line="240" w:lineRule="atLeast"/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1143" w:type="dxa"/>
            <w:tcBorders>
              <w:bottom w:val="single" w:color="auto" w:sz="4" w:space="0"/>
            </w:tcBorders>
            <w:shd w:val="clear" w:color="auto" w:fill="auto"/>
            <w:vAlign w:val="center"/>
          </w:tcPr>
          <w:p w14:paraId="2C492426">
            <w:pPr>
              <w:tabs>
                <w:tab w:val="left" w:pos="6915"/>
              </w:tabs>
              <w:rPr>
                <w:rFonts w:ascii="Times New Roman" w:hAnsi="Times New Roman" w:eastAsia="宋体" w:cs="Times New Roman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sz w:val="24"/>
                <w:szCs w:val="24"/>
              </w:rPr>
              <w:t>软X射线波段真空sCMOS面探测器</w:t>
            </w:r>
          </w:p>
          <w:p w14:paraId="7E88FD24">
            <w:pPr>
              <w:widowControl/>
              <w:spacing w:line="240" w:lineRule="atLeast"/>
              <w:jc w:val="center"/>
              <w:rPr>
                <w:rFonts w:ascii="Times New Roman" w:hAnsi="Times New Roman" w:eastAsia="宋体" w:cs="Times New Roman"/>
                <w:szCs w:val="24"/>
              </w:rPr>
            </w:pPr>
          </w:p>
        </w:tc>
        <w:tc>
          <w:tcPr>
            <w:tcW w:w="5743" w:type="dxa"/>
            <w:tcBorders>
              <w:bottom w:val="single" w:color="auto" w:sz="4" w:space="0"/>
            </w:tcBorders>
            <w:shd w:val="clear" w:color="auto" w:fill="auto"/>
            <w:vAlign w:val="center"/>
          </w:tcPr>
          <w:tbl>
            <w:tblPr>
              <w:tblStyle w:val="6"/>
              <w:tblW w:w="4997" w:type="pct"/>
              <w:tblInd w:w="0" w:type="dxa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Layout w:type="autofit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4731"/>
              <w:gridCol w:w="783"/>
            </w:tblGrid>
            <w:tr w14:paraId="47A33463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</w:tblPrEx>
              <w:trPr>
                <w:trHeight w:val="394" w:hRule="atLeast"/>
              </w:trPr>
              <w:tc>
                <w:tcPr>
                  <w:tcW w:w="4731" w:type="dxa"/>
                  <w:vAlign w:val="top"/>
                </w:tcPr>
                <w:p w14:paraId="5C3D4888">
                  <w:pPr>
                    <w:tabs>
                      <w:tab w:val="left" w:pos="6915"/>
                    </w:tabs>
                    <w:jc w:val="center"/>
                    <w:rPr>
                      <w:bCs/>
                      <w:szCs w:val="21"/>
                    </w:rPr>
                  </w:pPr>
                  <w:r>
                    <w:rPr>
                      <w:rFonts w:hint="eastAsia"/>
                      <w:bCs/>
                      <w:szCs w:val="21"/>
                    </w:rPr>
                    <w:t>技术参数需求</w:t>
                  </w:r>
                </w:p>
              </w:tc>
              <w:tc>
                <w:tcPr>
                  <w:tcW w:w="783" w:type="dxa"/>
                  <w:vAlign w:val="top"/>
                </w:tcPr>
                <w:p w14:paraId="3614663E">
                  <w:pPr>
                    <w:tabs>
                      <w:tab w:val="left" w:pos="6915"/>
                    </w:tabs>
                    <w:jc w:val="left"/>
                    <w:rPr>
                      <w:bCs/>
                      <w:szCs w:val="21"/>
                    </w:rPr>
                  </w:pPr>
                  <w:r>
                    <w:rPr>
                      <w:rFonts w:hint="eastAsia"/>
                      <w:bCs/>
                      <w:szCs w:val="21"/>
                    </w:rPr>
                    <w:t>数量</w:t>
                  </w:r>
                </w:p>
              </w:tc>
            </w:tr>
            <w:tr w14:paraId="08E463AA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051" w:hRule="atLeast"/>
              </w:trPr>
              <w:tc>
                <w:tcPr>
                  <w:tcW w:w="4731" w:type="dxa"/>
                  <w:vAlign w:val="top"/>
                </w:tcPr>
                <w:p w14:paraId="0673A70D">
                  <w:pPr>
                    <w:numPr>
                      <w:ilvl w:val="0"/>
                      <w:numId w:val="1"/>
                    </w:numPr>
                    <w:tabs>
                      <w:tab w:val="left" w:pos="6915"/>
                    </w:tabs>
                    <w:spacing w:line="288" w:lineRule="auto"/>
                    <w:ind w:left="357" w:hanging="357"/>
                    <w:jc w:val="left"/>
                    <w:rPr>
                      <w:bCs/>
                      <w:szCs w:val="21"/>
                    </w:rPr>
                  </w:pPr>
                  <w:r>
                    <w:rPr>
                      <w:rFonts w:hint="eastAsia"/>
                      <w:bCs/>
                      <w:szCs w:val="21"/>
                    </w:rPr>
                    <w:t>工作真空度≤</w:t>
                  </w:r>
                  <w:r>
                    <w:rPr>
                      <w:bCs/>
                      <w:szCs w:val="21"/>
                    </w:rPr>
                    <w:t>5</w:t>
                  </w:r>
                  <w:r>
                    <w:rPr>
                      <w:rFonts w:hint="eastAsia"/>
                      <w:bCs/>
                      <w:szCs w:val="21"/>
                    </w:rPr>
                    <w:t>×</w:t>
                  </w:r>
                  <w:r>
                    <w:rPr>
                      <w:bCs/>
                      <w:szCs w:val="21"/>
                    </w:rPr>
                    <w:t>10</w:t>
                  </w:r>
                  <w:r>
                    <w:rPr>
                      <w:bCs/>
                      <w:szCs w:val="21"/>
                      <w:vertAlign w:val="superscript"/>
                    </w:rPr>
                    <w:t>-7</w:t>
                  </w:r>
                  <w:r>
                    <w:rPr>
                      <w:bCs/>
                      <w:szCs w:val="21"/>
                    </w:rPr>
                    <w:t xml:space="preserve"> </w:t>
                  </w:r>
                  <w:r>
                    <w:rPr>
                      <w:rFonts w:hint="eastAsia"/>
                      <w:bCs/>
                      <w:szCs w:val="21"/>
                    </w:rPr>
                    <w:t>Pa</w:t>
                  </w:r>
                  <w:r>
                    <w:rPr>
                      <w:bCs/>
                      <w:szCs w:val="21"/>
                    </w:rPr>
                    <w:t xml:space="preserve"> (5</w:t>
                  </w:r>
                  <w:r>
                    <w:rPr>
                      <w:rFonts w:hint="eastAsia"/>
                      <w:bCs/>
                      <w:szCs w:val="21"/>
                    </w:rPr>
                    <w:t>×</w:t>
                  </w:r>
                  <w:r>
                    <w:rPr>
                      <w:bCs/>
                      <w:szCs w:val="21"/>
                    </w:rPr>
                    <w:t>10</w:t>
                  </w:r>
                  <w:r>
                    <w:rPr>
                      <w:bCs/>
                      <w:szCs w:val="21"/>
                      <w:vertAlign w:val="superscript"/>
                    </w:rPr>
                    <w:t>-9</w:t>
                  </w:r>
                  <w:r>
                    <w:rPr>
                      <w:bCs/>
                      <w:szCs w:val="21"/>
                    </w:rPr>
                    <w:t xml:space="preserve"> </w:t>
                  </w:r>
                  <w:r>
                    <w:rPr>
                      <w:rFonts w:hint="eastAsia"/>
                      <w:bCs/>
                      <w:szCs w:val="21"/>
                    </w:rPr>
                    <w:t>mbar</w:t>
                  </w:r>
                  <w:r>
                    <w:rPr>
                      <w:bCs/>
                      <w:szCs w:val="21"/>
                    </w:rPr>
                    <w:t>)</w:t>
                  </w:r>
                  <w:r>
                    <w:rPr>
                      <w:rFonts w:hint="eastAsia"/>
                      <w:bCs/>
                      <w:szCs w:val="21"/>
                    </w:rPr>
                    <w:t>，工作能量范围覆盖100 eV-</w:t>
                  </w:r>
                  <w:r>
                    <w:rPr>
                      <w:bCs/>
                      <w:szCs w:val="21"/>
                    </w:rPr>
                    <w:t xml:space="preserve">1000 </w:t>
                  </w:r>
                  <w:r>
                    <w:rPr>
                      <w:rFonts w:hint="eastAsia"/>
                      <w:bCs/>
                      <w:szCs w:val="21"/>
                    </w:rPr>
                    <w:t>eV</w:t>
                  </w:r>
                </w:p>
                <w:p w14:paraId="542BDCC4">
                  <w:pPr>
                    <w:numPr>
                      <w:ilvl w:val="0"/>
                      <w:numId w:val="1"/>
                    </w:numPr>
                    <w:tabs>
                      <w:tab w:val="left" w:pos="6915"/>
                    </w:tabs>
                    <w:spacing w:line="288" w:lineRule="auto"/>
                    <w:ind w:left="357" w:hanging="357"/>
                    <w:jc w:val="left"/>
                    <w:rPr>
                      <w:bCs/>
                      <w:szCs w:val="21"/>
                    </w:rPr>
                  </w:pPr>
                  <w:r>
                    <w:rPr>
                      <w:rFonts w:hint="eastAsia"/>
                      <w:bCs/>
                      <w:szCs w:val="21"/>
                    </w:rPr>
                    <w:t>芯片类型为无抗反射镀膜背照式sCMOS，像元尺寸≤6</w:t>
                  </w:r>
                  <w:r>
                    <w:rPr>
                      <w:bCs/>
                      <w:szCs w:val="21"/>
                    </w:rPr>
                    <w:t>.5 μm</w:t>
                  </w:r>
                  <w:r>
                    <w:rPr>
                      <w:rFonts w:hint="eastAsia"/>
                      <w:bCs/>
                      <w:szCs w:val="21"/>
                    </w:rPr>
                    <w:t>，分辨率2</w:t>
                  </w:r>
                  <w:r>
                    <w:rPr>
                      <w:bCs/>
                      <w:szCs w:val="21"/>
                    </w:rPr>
                    <w:t>048</w:t>
                  </w:r>
                  <w:r>
                    <w:rPr>
                      <w:rFonts w:hint="eastAsia"/>
                      <w:bCs/>
                      <w:szCs w:val="21"/>
                    </w:rPr>
                    <w:t>×</w:t>
                  </w:r>
                  <w:r>
                    <w:rPr>
                      <w:bCs/>
                      <w:szCs w:val="21"/>
                    </w:rPr>
                    <w:t>2048</w:t>
                  </w:r>
                  <w:r>
                    <w:rPr>
                      <w:rFonts w:hint="eastAsia"/>
                      <w:bCs/>
                      <w:szCs w:val="21"/>
                    </w:rPr>
                    <w:t>（4M</w:t>
                  </w:r>
                  <w:r>
                    <w:rPr>
                      <w:bCs/>
                      <w:szCs w:val="21"/>
                    </w:rPr>
                    <w:t>P</w:t>
                  </w:r>
                  <w:r>
                    <w:rPr>
                      <w:rFonts w:hint="eastAsia"/>
                      <w:bCs/>
                      <w:szCs w:val="21"/>
                    </w:rPr>
                    <w:t>），量子效率≥90%（100 eV-</w:t>
                  </w:r>
                  <w:r>
                    <w:rPr>
                      <w:bCs/>
                      <w:szCs w:val="21"/>
                    </w:rPr>
                    <w:t xml:space="preserve">1000 </w:t>
                  </w:r>
                  <w:r>
                    <w:rPr>
                      <w:rFonts w:hint="eastAsia"/>
                      <w:bCs/>
                      <w:szCs w:val="21"/>
                    </w:rPr>
                    <w:t>eV）</w:t>
                  </w:r>
                </w:p>
                <w:p w14:paraId="57E7CB5A">
                  <w:pPr>
                    <w:numPr>
                      <w:ilvl w:val="0"/>
                      <w:numId w:val="1"/>
                    </w:numPr>
                    <w:tabs>
                      <w:tab w:val="left" w:pos="6915"/>
                    </w:tabs>
                    <w:spacing w:line="288" w:lineRule="auto"/>
                    <w:ind w:left="357" w:hanging="357"/>
                    <w:jc w:val="left"/>
                    <w:rPr>
                      <w:bCs/>
                      <w:szCs w:val="21"/>
                    </w:rPr>
                  </w:pPr>
                  <w:r>
                    <w:rPr>
                      <w:rFonts w:hint="eastAsia"/>
                      <w:bCs/>
                      <w:szCs w:val="21"/>
                    </w:rPr>
                    <w:t>帧率≥</w:t>
                  </w:r>
                  <w:r>
                    <w:rPr>
                      <w:bCs/>
                      <w:szCs w:val="21"/>
                    </w:rPr>
                    <w:t xml:space="preserve">20 </w:t>
                  </w:r>
                  <w:r>
                    <w:rPr>
                      <w:rFonts w:hint="eastAsia"/>
                      <w:bCs/>
                      <w:szCs w:val="21"/>
                    </w:rPr>
                    <w:t>fps，动态范围≥</w:t>
                  </w:r>
                  <w:r>
                    <w:rPr>
                      <w:bCs/>
                      <w:szCs w:val="21"/>
                    </w:rPr>
                    <w:t>85</w:t>
                  </w:r>
                  <w:r>
                    <w:rPr>
                      <w:rFonts w:hint="eastAsia"/>
                      <w:bCs/>
                      <w:szCs w:val="21"/>
                    </w:rPr>
                    <w:t>d</w:t>
                  </w:r>
                  <w:r>
                    <w:rPr>
                      <w:bCs/>
                      <w:szCs w:val="21"/>
                    </w:rPr>
                    <w:t>B</w:t>
                  </w:r>
                  <w:r>
                    <w:rPr>
                      <w:rFonts w:hint="eastAsia"/>
                      <w:bCs/>
                      <w:szCs w:val="21"/>
                    </w:rPr>
                    <w:t>，满阱容量≥</w:t>
                  </w:r>
                  <w:r>
                    <w:rPr>
                      <w:bCs/>
                      <w:szCs w:val="21"/>
                    </w:rPr>
                    <w:t xml:space="preserve">85 </w:t>
                  </w:r>
                  <w:r>
                    <w:rPr>
                      <w:rFonts w:hint="eastAsia"/>
                      <w:bCs/>
                      <w:szCs w:val="21"/>
                    </w:rPr>
                    <w:t>k</w:t>
                  </w:r>
                  <w:r>
                    <w:rPr>
                      <w:bCs/>
                      <w:szCs w:val="21"/>
                    </w:rPr>
                    <w:t>e</w:t>
                  </w:r>
                  <w:r>
                    <w:rPr>
                      <w:bCs/>
                      <w:szCs w:val="21"/>
                      <w:vertAlign w:val="superscript"/>
                    </w:rPr>
                    <w:t>-</w:t>
                  </w:r>
                  <w:r>
                    <w:rPr>
                      <w:rFonts w:hint="eastAsia"/>
                      <w:bCs/>
                      <w:szCs w:val="21"/>
                    </w:rPr>
                    <w:t>，读出噪声≤</w:t>
                  </w:r>
                  <w:r>
                    <w:rPr>
                      <w:bCs/>
                      <w:szCs w:val="21"/>
                    </w:rPr>
                    <w:t>2.6 e</w:t>
                  </w:r>
                  <w:r>
                    <w:rPr>
                      <w:bCs/>
                      <w:szCs w:val="21"/>
                      <w:vertAlign w:val="superscript"/>
                    </w:rPr>
                    <w:t>-</w:t>
                  </w:r>
                  <w:r>
                    <w:rPr>
                      <w:rFonts w:hint="eastAsia"/>
                      <w:bCs/>
                      <w:szCs w:val="21"/>
                    </w:rPr>
                    <w:t>，暗电流：≤</w:t>
                  </w:r>
                  <w:r>
                    <w:rPr>
                      <w:bCs/>
                      <w:szCs w:val="21"/>
                    </w:rPr>
                    <w:t>1.2 e-/pixels/s</w:t>
                  </w:r>
                </w:p>
                <w:p w14:paraId="2B77CD09">
                  <w:pPr>
                    <w:numPr>
                      <w:ilvl w:val="0"/>
                      <w:numId w:val="1"/>
                    </w:numPr>
                    <w:tabs>
                      <w:tab w:val="left" w:pos="6915"/>
                    </w:tabs>
                    <w:spacing w:line="288" w:lineRule="auto"/>
                    <w:ind w:left="357" w:hanging="357"/>
                    <w:jc w:val="left"/>
                    <w:rPr>
                      <w:bCs/>
                      <w:szCs w:val="21"/>
                    </w:rPr>
                  </w:pPr>
                  <w:r>
                    <w:rPr>
                      <w:rFonts w:hint="eastAsia"/>
                      <w:bCs/>
                      <w:szCs w:val="21"/>
                    </w:rPr>
                    <w:t>制冷方式：风冷</w:t>
                  </w:r>
                </w:p>
                <w:p w14:paraId="53291A0E">
                  <w:pPr>
                    <w:numPr>
                      <w:ilvl w:val="0"/>
                      <w:numId w:val="1"/>
                    </w:numPr>
                    <w:tabs>
                      <w:tab w:val="left" w:pos="6915"/>
                    </w:tabs>
                    <w:spacing w:line="288" w:lineRule="auto"/>
                    <w:ind w:left="357" w:hanging="357"/>
                    <w:jc w:val="left"/>
                    <w:rPr>
                      <w:bCs/>
                      <w:szCs w:val="21"/>
                    </w:rPr>
                  </w:pPr>
                  <w:r>
                    <w:rPr>
                      <w:rFonts w:hint="eastAsia"/>
                      <w:bCs/>
                      <w:szCs w:val="21"/>
                    </w:rPr>
                    <w:t>安装法兰规格：DN</w:t>
                  </w:r>
                  <w:r>
                    <w:rPr>
                      <w:bCs/>
                      <w:szCs w:val="21"/>
                    </w:rPr>
                    <w:t>100CF</w:t>
                  </w:r>
                </w:p>
                <w:p w14:paraId="4B4A2FAA">
                  <w:pPr>
                    <w:numPr>
                      <w:ilvl w:val="0"/>
                      <w:numId w:val="1"/>
                    </w:numPr>
                    <w:tabs>
                      <w:tab w:val="left" w:pos="6915"/>
                    </w:tabs>
                    <w:spacing w:line="288" w:lineRule="auto"/>
                    <w:ind w:left="357" w:hanging="357"/>
                    <w:jc w:val="left"/>
                    <w:rPr>
                      <w:bCs/>
                      <w:szCs w:val="21"/>
                    </w:rPr>
                  </w:pPr>
                  <w:r>
                    <w:rPr>
                      <w:rFonts w:hint="eastAsia"/>
                      <w:bCs/>
                      <w:szCs w:val="21"/>
                    </w:rPr>
                    <w:t>软件开发支持：</w:t>
                  </w:r>
                  <w:r>
                    <w:rPr>
                      <w:bCs/>
                      <w:szCs w:val="21"/>
                    </w:rPr>
                    <w:t>LabVIEW, EPICS</w:t>
                  </w:r>
                </w:p>
                <w:p w14:paraId="48414EC2">
                  <w:pPr>
                    <w:numPr>
                      <w:ilvl w:val="0"/>
                      <w:numId w:val="1"/>
                    </w:numPr>
                    <w:tabs>
                      <w:tab w:val="left" w:pos="6915"/>
                    </w:tabs>
                    <w:spacing w:line="288" w:lineRule="auto"/>
                    <w:ind w:left="357" w:hanging="357"/>
                    <w:jc w:val="left"/>
                    <w:rPr>
                      <w:bCs/>
                      <w:szCs w:val="21"/>
                    </w:rPr>
                  </w:pPr>
                  <w:r>
                    <w:rPr>
                      <w:rFonts w:hint="eastAsia"/>
                      <w:bCs/>
                      <w:szCs w:val="21"/>
                    </w:rPr>
                    <w:t>可见光滤光膜：直径≥1</w:t>
                  </w:r>
                  <w:r>
                    <w:rPr>
                      <w:bCs/>
                      <w:szCs w:val="21"/>
                    </w:rPr>
                    <w:t xml:space="preserve">0 </w:t>
                  </w:r>
                  <w:r>
                    <w:rPr>
                      <w:rFonts w:hint="eastAsia"/>
                      <w:bCs/>
                      <w:szCs w:val="21"/>
                    </w:rPr>
                    <w:t>mm，铝箔，超高真空兼容</w:t>
                  </w:r>
                </w:p>
                <w:p w14:paraId="24755EAC">
                  <w:pPr>
                    <w:numPr>
                      <w:ilvl w:val="0"/>
                      <w:numId w:val="1"/>
                    </w:numPr>
                    <w:tabs>
                      <w:tab w:val="left" w:pos="6915"/>
                    </w:tabs>
                    <w:spacing w:line="288" w:lineRule="auto"/>
                    <w:ind w:left="357" w:hanging="357"/>
                    <w:jc w:val="left"/>
                    <w:rPr>
                      <w:bCs/>
                      <w:szCs w:val="21"/>
                    </w:rPr>
                  </w:pPr>
                  <w:r>
                    <w:rPr>
                      <w:rFonts w:hint="eastAsia"/>
                      <w:bCs/>
                      <w:szCs w:val="21"/>
                    </w:rPr>
                    <w:t>配件和备件要求：相机采购包含数据传输所需的线缆2根、采集卡1张、可见光滤光膜</w:t>
                  </w:r>
                  <w:r>
                    <w:rPr>
                      <w:bCs/>
                      <w:szCs w:val="21"/>
                    </w:rPr>
                    <w:t>2</w:t>
                  </w:r>
                  <w:r>
                    <w:rPr>
                      <w:rFonts w:hint="eastAsia"/>
                      <w:bCs/>
                      <w:szCs w:val="21"/>
                    </w:rPr>
                    <w:t>张</w:t>
                  </w:r>
                </w:p>
                <w:p w14:paraId="17632866">
                  <w:pPr>
                    <w:tabs>
                      <w:tab w:val="left" w:pos="6915"/>
                    </w:tabs>
                    <w:spacing w:line="288" w:lineRule="auto"/>
                    <w:jc w:val="left"/>
                    <w:rPr>
                      <w:bCs/>
                      <w:szCs w:val="21"/>
                    </w:rPr>
                  </w:pPr>
                </w:p>
              </w:tc>
              <w:tc>
                <w:tcPr>
                  <w:tcW w:w="783" w:type="dxa"/>
                  <w:vAlign w:val="center"/>
                </w:tcPr>
                <w:p w14:paraId="0BE5C5DD">
                  <w:pPr>
                    <w:tabs>
                      <w:tab w:val="left" w:pos="6915"/>
                    </w:tabs>
                    <w:spacing w:line="288" w:lineRule="auto"/>
                    <w:jc w:val="center"/>
                    <w:rPr>
                      <w:bCs/>
                      <w:szCs w:val="21"/>
                    </w:rPr>
                  </w:pPr>
                  <w:r>
                    <w:rPr>
                      <w:rFonts w:hint="eastAsia"/>
                      <w:bCs/>
                      <w:szCs w:val="21"/>
                    </w:rPr>
                    <w:t>1套</w:t>
                  </w:r>
                </w:p>
              </w:tc>
            </w:tr>
          </w:tbl>
          <w:p w14:paraId="17EA6222">
            <w:pPr>
              <w:tabs>
                <w:tab w:val="left" w:pos="6915"/>
              </w:tabs>
              <w:rPr>
                <w:bCs/>
                <w:sz w:val="24"/>
              </w:rPr>
            </w:pPr>
            <w:r>
              <w:rPr>
                <w:rFonts w:hint="eastAsia"/>
                <w:bCs/>
              </w:rPr>
              <w:t>注：报价时</w:t>
            </w:r>
            <w:r>
              <w:rPr>
                <w:bCs/>
              </w:rPr>
              <w:t>需提供业绩证明材料：</w:t>
            </w:r>
            <w:r>
              <w:t>业绩证明材料</w:t>
            </w:r>
            <w:r>
              <w:rPr>
                <w:bCs/>
              </w:rPr>
              <w:t>须</w:t>
            </w:r>
            <w:r>
              <w:t>体现乙方具备</w:t>
            </w:r>
            <w:r>
              <w:rPr>
                <w:rFonts w:hint="eastAsia"/>
              </w:rPr>
              <w:t>软X射线波段的真空sCMOS面探测器</w:t>
            </w:r>
            <w:r>
              <w:t>的交付能力，所提供业绩的真空度须优于</w:t>
            </w:r>
            <w:r>
              <w:rPr>
                <w:bCs/>
              </w:rPr>
              <w:t>1×10</w:t>
            </w:r>
            <w:r>
              <w:rPr>
                <w:bCs/>
                <w:vertAlign w:val="superscript"/>
              </w:rPr>
              <w:t xml:space="preserve">-8 </w:t>
            </w:r>
            <w:r>
              <w:rPr>
                <w:bCs/>
              </w:rPr>
              <w:t>mbar</w:t>
            </w:r>
            <w:r>
              <w:t>。</w:t>
            </w:r>
          </w:p>
        </w:tc>
        <w:tc>
          <w:tcPr>
            <w:tcW w:w="1464" w:type="dxa"/>
            <w:vAlign w:val="center"/>
          </w:tcPr>
          <w:p w14:paraId="205FF5AB">
            <w:pPr>
              <w:spacing w:line="240" w:lineRule="atLeast"/>
              <w:jc w:val="center"/>
            </w:pPr>
          </w:p>
        </w:tc>
        <w:tc>
          <w:tcPr>
            <w:tcW w:w="1023" w:type="dxa"/>
            <w:vAlign w:val="center"/>
          </w:tcPr>
          <w:p w14:paraId="1C60665B">
            <w:pPr>
              <w:spacing w:line="240" w:lineRule="atLeast"/>
              <w:jc w:val="center"/>
            </w:pPr>
          </w:p>
        </w:tc>
      </w:tr>
      <w:tr w14:paraId="497EA6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17" w:hRule="atLeast"/>
        </w:trPr>
        <w:tc>
          <w:tcPr>
            <w:tcW w:w="725" w:type="dxa"/>
            <w:vAlign w:val="center"/>
          </w:tcPr>
          <w:p w14:paraId="21D5CC9B">
            <w:pPr>
              <w:spacing w:line="240" w:lineRule="atLeast"/>
              <w:jc w:val="center"/>
            </w:pPr>
            <w:r>
              <w:t>2</w:t>
            </w:r>
          </w:p>
        </w:tc>
        <w:tc>
          <w:tcPr>
            <w:tcW w:w="11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217188C">
            <w:pPr>
              <w:widowControl/>
              <w:spacing w:line="240" w:lineRule="atLeast"/>
              <w:jc w:val="center"/>
            </w:pPr>
            <w:r>
              <w:rPr>
                <w:rFonts w:hint="eastAsia"/>
              </w:rPr>
              <w:t>商务条款</w:t>
            </w:r>
          </w:p>
        </w:tc>
        <w:tc>
          <w:tcPr>
            <w:tcW w:w="57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BA4FB8D">
            <w:pPr>
              <w:tabs>
                <w:tab w:val="left" w:pos="6915"/>
              </w:tabs>
              <w:spacing w:line="288" w:lineRule="auto"/>
              <w:jc w:val="left"/>
              <w:rPr>
                <w:bCs/>
                <w:szCs w:val="21"/>
              </w:rPr>
            </w:pPr>
            <w:r>
              <w:rPr>
                <w:rFonts w:ascii="宋体" w:hAnsi="宋体"/>
                <w:b/>
                <w:szCs w:val="21"/>
              </w:rPr>
              <w:t>交</w:t>
            </w:r>
            <w:r>
              <w:rPr>
                <w:b/>
                <w:szCs w:val="21"/>
              </w:rPr>
              <w:t>货期</w:t>
            </w:r>
            <w:r>
              <w:rPr>
                <w:rFonts w:hint="eastAsia"/>
                <w:b/>
                <w:szCs w:val="21"/>
              </w:rPr>
              <w:t>：</w:t>
            </w:r>
            <w:r>
              <w:rPr>
                <w:rFonts w:hint="eastAsia"/>
                <w:szCs w:val="21"/>
              </w:rPr>
              <w:t>合同签订后</w:t>
            </w:r>
            <w:r>
              <w:rPr>
                <w:bCs/>
                <w:szCs w:val="21"/>
              </w:rPr>
              <w:t>10</w:t>
            </w:r>
            <w:r>
              <w:rPr>
                <w:rFonts w:hint="eastAsia"/>
                <w:bCs/>
                <w:szCs w:val="21"/>
              </w:rPr>
              <w:t>个月内交货。</w:t>
            </w:r>
          </w:p>
          <w:p w14:paraId="3CFEA372">
            <w:pPr>
              <w:tabs>
                <w:tab w:val="left" w:pos="6915"/>
              </w:tabs>
              <w:spacing w:line="288" w:lineRule="auto"/>
              <w:jc w:val="left"/>
              <w:rPr>
                <w:bCs/>
                <w:szCs w:val="21"/>
              </w:rPr>
            </w:pPr>
            <w:r>
              <w:rPr>
                <w:b/>
                <w:szCs w:val="21"/>
              </w:rPr>
              <w:t>交付进度</w:t>
            </w:r>
            <w:r>
              <w:rPr>
                <w:rFonts w:hint="eastAsia"/>
                <w:b/>
                <w:szCs w:val="21"/>
              </w:rPr>
              <w:t>：</w:t>
            </w:r>
            <w:r>
              <w:rPr>
                <w:rFonts w:hint="eastAsia"/>
                <w:bCs/>
                <w:szCs w:val="21"/>
              </w:rPr>
              <w:t>一次性交付。</w:t>
            </w:r>
          </w:p>
          <w:p w14:paraId="617FF727">
            <w:pPr>
              <w:tabs>
                <w:tab w:val="left" w:pos="6915"/>
              </w:tabs>
              <w:spacing w:line="288" w:lineRule="auto"/>
              <w:jc w:val="left"/>
              <w:rPr>
                <w:szCs w:val="21"/>
              </w:rPr>
            </w:pPr>
            <w:r>
              <w:rPr>
                <w:b/>
                <w:szCs w:val="21"/>
              </w:rPr>
              <w:t>付款方式</w:t>
            </w:r>
            <w:r>
              <w:rPr>
                <w:rFonts w:hint="eastAsia"/>
                <w:szCs w:val="21"/>
              </w:rPr>
              <w:t>：合同签订后支付合同总额的</w:t>
            </w:r>
            <w:r>
              <w:rPr>
                <w:szCs w:val="21"/>
              </w:rPr>
              <w:t>3</w:t>
            </w:r>
            <w:r>
              <w:rPr>
                <w:rFonts w:hint="eastAsia"/>
                <w:szCs w:val="21"/>
              </w:rPr>
              <w:t>0%，货到验收合格后支付尾款。</w:t>
            </w:r>
          </w:p>
          <w:p w14:paraId="304718A5">
            <w:pPr>
              <w:tabs>
                <w:tab w:val="left" w:pos="6915"/>
              </w:tabs>
              <w:spacing w:line="288" w:lineRule="auto"/>
              <w:jc w:val="left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验收指标及验收要求：</w:t>
            </w:r>
            <w:r>
              <w:rPr>
                <w:rFonts w:hint="eastAsia"/>
                <w:szCs w:val="21"/>
              </w:rPr>
              <w:t>以厂家的出厂测试报告或第三方检测报告为准。</w:t>
            </w:r>
          </w:p>
          <w:p w14:paraId="1B267899">
            <w:pPr>
              <w:pStyle w:val="11"/>
              <w:numPr>
                <w:ilvl w:val="0"/>
                <w:numId w:val="0"/>
              </w:numPr>
              <w:tabs>
                <w:tab w:val="left" w:pos="6915"/>
                <w:tab w:val="clear" w:pos="1428"/>
              </w:tabs>
              <w:ind w:leftChars="0"/>
              <w:rPr>
                <w:rFonts w:hint="eastAsia" w:ascii="宋体" w:hAnsi="宋体"/>
                <w:szCs w:val="21"/>
              </w:rPr>
            </w:pPr>
            <w:r>
              <w:rPr>
                <w:rFonts w:hint="eastAsia"/>
                <w:b/>
                <w:szCs w:val="21"/>
              </w:rPr>
              <w:t>保修</w:t>
            </w:r>
            <w:r>
              <w:rPr>
                <w:b/>
                <w:szCs w:val="21"/>
              </w:rPr>
              <w:t>及售后服务</w:t>
            </w:r>
            <w:r>
              <w:rPr>
                <w:rFonts w:hint="eastAsia"/>
                <w:b/>
                <w:szCs w:val="21"/>
              </w:rPr>
              <w:t>：</w:t>
            </w:r>
            <w:r>
              <w:rPr>
                <w:rFonts w:hint="eastAsia"/>
                <w:bCs/>
                <w:szCs w:val="21"/>
              </w:rPr>
              <w:t>自验收之日起质保2年以上。</w:t>
            </w:r>
            <w:bookmarkStart w:id="0" w:name="_GoBack"/>
            <w:bookmarkEnd w:id="0"/>
          </w:p>
        </w:tc>
        <w:tc>
          <w:tcPr>
            <w:tcW w:w="1464" w:type="dxa"/>
            <w:vAlign w:val="center"/>
          </w:tcPr>
          <w:p w14:paraId="324B1D27">
            <w:pPr>
              <w:spacing w:line="240" w:lineRule="atLeast"/>
              <w:jc w:val="center"/>
            </w:pPr>
          </w:p>
        </w:tc>
        <w:tc>
          <w:tcPr>
            <w:tcW w:w="1023" w:type="dxa"/>
            <w:vAlign w:val="center"/>
          </w:tcPr>
          <w:p w14:paraId="06AA2CA0">
            <w:pPr>
              <w:spacing w:line="240" w:lineRule="atLeast"/>
              <w:jc w:val="center"/>
            </w:pPr>
          </w:p>
        </w:tc>
      </w:tr>
    </w:tbl>
    <w:p w14:paraId="0DED7F3B">
      <w:pPr>
        <w:ind w:right="840" w:firstLine="5040" w:firstLineChars="2100"/>
        <w:rPr>
          <w:sz w:val="24"/>
        </w:rPr>
      </w:pPr>
    </w:p>
    <w:p w14:paraId="6B36AD4F">
      <w:pPr>
        <w:ind w:right="840" w:firstLine="5040" w:firstLineChars="2100"/>
        <w:rPr>
          <w:sz w:val="24"/>
        </w:rPr>
      </w:pPr>
      <w:r>
        <w:rPr>
          <w:sz w:val="24"/>
        </w:rPr>
        <w:t>公司名称</w:t>
      </w:r>
      <w:r>
        <w:rPr>
          <w:rFonts w:hint="eastAsia"/>
          <w:sz w:val="24"/>
        </w:rPr>
        <w:t>（盖章）：</w:t>
      </w:r>
    </w:p>
    <w:p w14:paraId="2BA3965A">
      <w:pPr>
        <w:ind w:right="840"/>
        <w:jc w:val="center"/>
        <w:rPr>
          <w:sz w:val="24"/>
        </w:rPr>
      </w:pPr>
      <w:r>
        <w:rPr>
          <w:rFonts w:hint="eastAsia"/>
          <w:sz w:val="24"/>
        </w:rPr>
        <w:t xml:space="preserve"> </w:t>
      </w:r>
      <w:r>
        <w:rPr>
          <w:sz w:val="24"/>
        </w:rPr>
        <w:t xml:space="preserve">                            日期</w:t>
      </w:r>
      <w:r>
        <w:rPr>
          <w:rFonts w:hint="eastAsia"/>
          <w:sz w:val="24"/>
        </w:rPr>
        <w:t>：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MicrosoftYaHei">
    <w:altName w:val="宋体"/>
    <w:panose1 w:val="00000000000000000000"/>
    <w:charset w:val="86"/>
    <w:family w:val="roman"/>
    <w:pitch w:val="default"/>
    <w:sig w:usb0="00000000" w:usb1="00000000" w:usb2="00000000" w:usb3="00000000" w:csb0="0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8360B8D"/>
    <w:multiLevelType w:val="multilevel"/>
    <w:tmpl w:val="18360B8D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61437"/>
    <w:rsid w:val="000110C4"/>
    <w:rsid w:val="00015CB8"/>
    <w:rsid w:val="00020783"/>
    <w:rsid w:val="00050922"/>
    <w:rsid w:val="00086882"/>
    <w:rsid w:val="00090223"/>
    <w:rsid w:val="00091C8D"/>
    <w:rsid w:val="000E54CE"/>
    <w:rsid w:val="00102C13"/>
    <w:rsid w:val="00123779"/>
    <w:rsid w:val="001501D1"/>
    <w:rsid w:val="001548E0"/>
    <w:rsid w:val="00180627"/>
    <w:rsid w:val="001B219D"/>
    <w:rsid w:val="001D3367"/>
    <w:rsid w:val="002026B2"/>
    <w:rsid w:val="002212AC"/>
    <w:rsid w:val="00261EE1"/>
    <w:rsid w:val="00267E42"/>
    <w:rsid w:val="002D1729"/>
    <w:rsid w:val="002E518A"/>
    <w:rsid w:val="003009AA"/>
    <w:rsid w:val="00363C73"/>
    <w:rsid w:val="003923FC"/>
    <w:rsid w:val="003C2330"/>
    <w:rsid w:val="003C7C5A"/>
    <w:rsid w:val="004626C3"/>
    <w:rsid w:val="004973C3"/>
    <w:rsid w:val="004B0D2F"/>
    <w:rsid w:val="00516FB3"/>
    <w:rsid w:val="00547A75"/>
    <w:rsid w:val="00584F75"/>
    <w:rsid w:val="005C4758"/>
    <w:rsid w:val="005E2C0C"/>
    <w:rsid w:val="005F7E7B"/>
    <w:rsid w:val="00630F8F"/>
    <w:rsid w:val="00642CDA"/>
    <w:rsid w:val="00670B3D"/>
    <w:rsid w:val="006C07B4"/>
    <w:rsid w:val="006D67E0"/>
    <w:rsid w:val="00705387"/>
    <w:rsid w:val="00720BC4"/>
    <w:rsid w:val="007230C5"/>
    <w:rsid w:val="00731AE1"/>
    <w:rsid w:val="00744E8E"/>
    <w:rsid w:val="00750961"/>
    <w:rsid w:val="00757D88"/>
    <w:rsid w:val="00763EDD"/>
    <w:rsid w:val="007B2AE3"/>
    <w:rsid w:val="00811B08"/>
    <w:rsid w:val="00825420"/>
    <w:rsid w:val="00832C3E"/>
    <w:rsid w:val="00841F33"/>
    <w:rsid w:val="00872767"/>
    <w:rsid w:val="00877DA3"/>
    <w:rsid w:val="008A717C"/>
    <w:rsid w:val="008D62B6"/>
    <w:rsid w:val="008E3DB8"/>
    <w:rsid w:val="008F0FFC"/>
    <w:rsid w:val="008F5C2B"/>
    <w:rsid w:val="009149BA"/>
    <w:rsid w:val="00961437"/>
    <w:rsid w:val="00995429"/>
    <w:rsid w:val="00996AC3"/>
    <w:rsid w:val="009B6E26"/>
    <w:rsid w:val="009C3224"/>
    <w:rsid w:val="009C4C31"/>
    <w:rsid w:val="009E2F9A"/>
    <w:rsid w:val="009F5C3A"/>
    <w:rsid w:val="00A01094"/>
    <w:rsid w:val="00A11447"/>
    <w:rsid w:val="00A20D98"/>
    <w:rsid w:val="00A27625"/>
    <w:rsid w:val="00A44E8A"/>
    <w:rsid w:val="00A533CA"/>
    <w:rsid w:val="00A66F06"/>
    <w:rsid w:val="00A7013F"/>
    <w:rsid w:val="00A8112C"/>
    <w:rsid w:val="00AC1D37"/>
    <w:rsid w:val="00AC67EF"/>
    <w:rsid w:val="00AF7A8B"/>
    <w:rsid w:val="00B0175F"/>
    <w:rsid w:val="00B04741"/>
    <w:rsid w:val="00B311D0"/>
    <w:rsid w:val="00B64004"/>
    <w:rsid w:val="00B7785A"/>
    <w:rsid w:val="00B90DC2"/>
    <w:rsid w:val="00B971DE"/>
    <w:rsid w:val="00BA1B3F"/>
    <w:rsid w:val="00BC2767"/>
    <w:rsid w:val="00BD701B"/>
    <w:rsid w:val="00C102A3"/>
    <w:rsid w:val="00C1298E"/>
    <w:rsid w:val="00C26D9F"/>
    <w:rsid w:val="00C420C3"/>
    <w:rsid w:val="00C442AD"/>
    <w:rsid w:val="00CA3288"/>
    <w:rsid w:val="00CA3E3B"/>
    <w:rsid w:val="00D011DC"/>
    <w:rsid w:val="00D04097"/>
    <w:rsid w:val="00D16AC0"/>
    <w:rsid w:val="00D24D09"/>
    <w:rsid w:val="00D72E1E"/>
    <w:rsid w:val="00D81354"/>
    <w:rsid w:val="00DA7BF9"/>
    <w:rsid w:val="00E00131"/>
    <w:rsid w:val="00E0215E"/>
    <w:rsid w:val="00E147A9"/>
    <w:rsid w:val="00E5012E"/>
    <w:rsid w:val="00E762FD"/>
    <w:rsid w:val="00E930C8"/>
    <w:rsid w:val="00EA412A"/>
    <w:rsid w:val="00EA6BA9"/>
    <w:rsid w:val="00EB6FB2"/>
    <w:rsid w:val="00EC5A9D"/>
    <w:rsid w:val="00F02F94"/>
    <w:rsid w:val="00F26580"/>
    <w:rsid w:val="00F347F0"/>
    <w:rsid w:val="00F34AE9"/>
    <w:rsid w:val="00F357B0"/>
    <w:rsid w:val="00F43549"/>
    <w:rsid w:val="00F50B62"/>
    <w:rsid w:val="00F70F95"/>
    <w:rsid w:val="00F82AA6"/>
    <w:rsid w:val="00F855E3"/>
    <w:rsid w:val="00FA453C"/>
    <w:rsid w:val="00FC7C08"/>
    <w:rsid w:val="00FE15FA"/>
    <w:rsid w:val="00FF78CF"/>
    <w:rsid w:val="0279069A"/>
    <w:rsid w:val="2D070EC5"/>
    <w:rsid w:val="46BF17AE"/>
    <w:rsid w:val="48EB0E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0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semiHidden/>
    <w:unhideWhenUsed/>
    <w:uiPriority w:val="99"/>
    <w:pPr>
      <w:spacing w:beforeAutospacing="1" w:afterAutospacing="1" w:line="278" w:lineRule="auto"/>
      <w:jc w:val="left"/>
    </w:pPr>
    <w:rPr>
      <w:rFonts w:ascii="Times New Roman" w:hAnsi="Times New Roman" w:eastAsia="宋体" w:cs="Times New Roman"/>
      <w:kern w:val="0"/>
      <w:sz w:val="24"/>
      <w:szCs w:val="24"/>
    </w:rPr>
  </w:style>
  <w:style w:type="table" w:styleId="6">
    <w:name w:val="Table Grid"/>
    <w:basedOn w:val="5"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8">
    <w:name w:val="fontstyle01"/>
    <w:basedOn w:val="7"/>
    <w:qFormat/>
    <w:uiPriority w:val="0"/>
    <w:rPr>
      <w:rFonts w:hint="default" w:ascii="MicrosoftYaHei" w:hAnsi="MicrosoftYaHei"/>
      <w:color w:val="000000"/>
      <w:sz w:val="22"/>
      <w:szCs w:val="22"/>
    </w:rPr>
  </w:style>
  <w:style w:type="character" w:customStyle="1" w:styleId="9">
    <w:name w:val="页眉 字符"/>
    <w:basedOn w:val="7"/>
    <w:link w:val="3"/>
    <w:qFormat/>
    <w:uiPriority w:val="99"/>
    <w:rPr>
      <w:sz w:val="18"/>
      <w:szCs w:val="18"/>
    </w:rPr>
  </w:style>
  <w:style w:type="character" w:customStyle="1" w:styleId="10">
    <w:name w:val="页脚 字符"/>
    <w:basedOn w:val="7"/>
    <w:link w:val="2"/>
    <w:qFormat/>
    <w:uiPriority w:val="99"/>
    <w:rPr>
      <w:sz w:val="18"/>
      <w:szCs w:val="18"/>
    </w:rPr>
  </w:style>
  <w:style w:type="paragraph" w:styleId="11">
    <w:name w:val="List Paragraph"/>
    <w:basedOn w:val="1"/>
    <w:autoRedefine/>
    <w:qFormat/>
    <w:uiPriority w:val="99"/>
    <w:pPr>
      <w:tabs>
        <w:tab w:val="left" w:pos="1428"/>
      </w:tabs>
      <w:ind w:firstLine="420" w:firstLineChars="200"/>
      <w:jc w:val="left"/>
    </w:pPr>
    <w:rPr>
      <w:rFonts w:ascii="Times New Roman" w:hAnsi="Times New Roman" w:eastAsia="宋体" w:cs="Times New Roman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P R C</Company>
  <Pages>1</Pages>
  <Words>491</Words>
  <Characters>554</Characters>
  <Lines>5</Lines>
  <Paragraphs>1</Paragraphs>
  <TotalTime>0</TotalTime>
  <ScaleCrop>false</ScaleCrop>
  <LinksUpToDate>false</LinksUpToDate>
  <CharactersWithSpaces>594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2024-07-15T01:36:00Z</dcterms:created>
  <dc:creator>China</dc:creator>
  <cp:lastModifiedBy>Administrator</cp:lastModifiedBy>
  <dcterms:modified xsi:type="dcterms:W3CDTF">2025-12-02T06:24:31Z</dcterms:modified>
  <cp:revision>36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eyJoZGlkIjoiNTE0MzQ1MWU1NWFiMDFiMWViNzY4NThjZTc3NWU4YTUifQ==</vt:lpwstr>
  </property>
  <property fmtid="{D5CDD505-2E9C-101B-9397-08002B2CF9AE}" pid="3" name="KSOProductBuildVer">
    <vt:lpwstr>2052-12.1.0.23542</vt:lpwstr>
  </property>
  <property fmtid="{D5CDD505-2E9C-101B-9397-08002B2CF9AE}" pid="4" name="ICV">
    <vt:lpwstr>20B1B4D6E71F47CB8E65CCEFBC87FC75_12</vt:lpwstr>
  </property>
</Properties>
</file>