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9AC448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6270CA3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4BED1386"/>
    <w:tbl>
      <w:tblPr>
        <w:tblStyle w:val="3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561"/>
        <w:gridCol w:w="5105"/>
        <w:gridCol w:w="1418"/>
        <w:gridCol w:w="992"/>
      </w:tblGrid>
      <w:tr w14:paraId="0B802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08595080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561" w:type="dxa"/>
            <w:vAlign w:val="center"/>
          </w:tcPr>
          <w:p w14:paraId="5D2BE5C9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5105" w:type="dxa"/>
            <w:vAlign w:val="center"/>
          </w:tcPr>
          <w:p w14:paraId="2D8488E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5FE1DE87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偏离说明</w:t>
            </w:r>
          </w:p>
          <w:p w14:paraId="2F0BEEB9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无偏离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正偏离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负偏离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14:paraId="226E9AE1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偏离值</w:t>
            </w:r>
          </w:p>
        </w:tc>
      </w:tr>
      <w:tr w14:paraId="146FE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05" w:type="dxa"/>
            <w:vAlign w:val="center"/>
          </w:tcPr>
          <w:p w14:paraId="4B4929B2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F55EAC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X射线晶向仪</w:t>
            </w:r>
          </w:p>
        </w:tc>
        <w:tc>
          <w:tcPr>
            <w:tcW w:w="5105" w:type="dxa"/>
            <w:vAlign w:val="center"/>
          </w:tcPr>
          <w:p w14:paraId="25F67698">
            <w:pPr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采购</w:t>
            </w:r>
            <w:r>
              <w:rPr>
                <w:rFonts w:hint="eastAsia"/>
                <w:sz w:val="24"/>
                <w:szCs w:val="24"/>
              </w:rPr>
              <w:t>晶向仪1台，设备</w:t>
            </w:r>
            <w:r>
              <w:rPr>
                <w:sz w:val="24"/>
                <w:szCs w:val="24"/>
              </w:rPr>
              <w:t>应由X射线源、测角仪、样品台以及辐射防护壳体、冷却系统等组成，其技术要求如下：</w:t>
            </w:r>
          </w:p>
          <w:p w14:paraId="7B3075B0">
            <w:pPr>
              <w:numPr>
                <w:ilvl w:val="0"/>
                <w:numId w:val="1"/>
              </w:numPr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X射线源：</w:t>
            </w:r>
          </w:p>
          <w:p w14:paraId="0D1FE44A">
            <w:pPr>
              <w:numPr>
                <w:ilvl w:val="0"/>
                <w:numId w:val="2"/>
              </w:numPr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采用封闭式X射线源；</w:t>
            </w:r>
          </w:p>
          <w:p w14:paraId="1B85AE65">
            <w:pPr>
              <w:numPr>
                <w:ilvl w:val="0"/>
                <w:numId w:val="2"/>
              </w:numPr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X射线源靶材采用铜（Cu）靶；</w:t>
            </w:r>
          </w:p>
          <w:p w14:paraId="7280256A">
            <w:pPr>
              <w:numPr>
                <w:ilvl w:val="0"/>
                <w:numId w:val="2"/>
              </w:numPr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管电压范围：30 kV</w:t>
            </w:r>
            <w:r>
              <w:rPr>
                <w:rFonts w:hint="eastAsia"/>
                <w:sz w:val="24"/>
                <w:szCs w:val="24"/>
              </w:rPr>
              <w:t>~</w:t>
            </w:r>
            <w:r>
              <w:rPr>
                <w:sz w:val="24"/>
                <w:szCs w:val="24"/>
              </w:rPr>
              <w:t>60 kV；</w:t>
            </w:r>
          </w:p>
          <w:p w14:paraId="392853B6">
            <w:pPr>
              <w:numPr>
                <w:ilvl w:val="0"/>
                <w:numId w:val="2"/>
              </w:numPr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管电流范围：10 mA</w:t>
            </w:r>
            <w:r>
              <w:rPr>
                <w:rFonts w:hint="eastAsia"/>
                <w:sz w:val="24"/>
                <w:szCs w:val="24"/>
              </w:rPr>
              <w:t>~</w:t>
            </w:r>
            <w:r>
              <w:rPr>
                <w:sz w:val="24"/>
                <w:szCs w:val="24"/>
              </w:rPr>
              <w:t>50 mA；</w:t>
            </w:r>
          </w:p>
          <w:p w14:paraId="5B203EDD">
            <w:pPr>
              <w:numPr>
                <w:ilvl w:val="0"/>
                <w:numId w:val="2"/>
              </w:numPr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焦点尺寸：</w:t>
            </w:r>
            <w:r>
              <w:rPr>
                <w:rFonts w:ascii="宋体" w:hAnsi="宋体"/>
                <w:sz w:val="24"/>
                <w:szCs w:val="24"/>
              </w:rPr>
              <w:t>≤</w:t>
            </w:r>
            <w:r>
              <w:rPr>
                <w:sz w:val="24"/>
                <w:szCs w:val="24"/>
              </w:rPr>
              <w:t>10×10 mm；</w:t>
            </w:r>
          </w:p>
          <w:p w14:paraId="7F1884A4">
            <w:pPr>
              <w:numPr>
                <w:ilvl w:val="0"/>
                <w:numId w:val="1"/>
              </w:numPr>
              <w:adjustRightInd w:val="0"/>
              <w:snapToGrid w:val="0"/>
              <w:ind w:left="0" w:leftChars="0"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测角仪：</w:t>
            </w:r>
          </w:p>
          <w:p w14:paraId="6AA5780B">
            <w:pPr>
              <w:numPr>
                <w:ilvl w:val="0"/>
                <w:numId w:val="3"/>
              </w:numPr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2θ角覆盖范围：0°</w:t>
            </w:r>
            <w:r>
              <w:rPr>
                <w:rFonts w:hint="eastAsia"/>
                <w:sz w:val="24"/>
                <w:szCs w:val="24"/>
              </w:rPr>
              <w:t>~</w:t>
            </w:r>
            <w:r>
              <w:rPr>
                <w:sz w:val="24"/>
                <w:szCs w:val="24"/>
              </w:rPr>
              <w:t>100°；</w:t>
            </w:r>
          </w:p>
          <w:p w14:paraId="68FB308F">
            <w:pPr>
              <w:numPr>
                <w:ilvl w:val="0"/>
                <w:numId w:val="3"/>
              </w:numPr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角度分辨率：</w:t>
            </w:r>
            <w:r>
              <w:rPr>
                <w:rFonts w:ascii="宋体" w:hAnsi="宋体"/>
                <w:sz w:val="24"/>
                <w:szCs w:val="24"/>
              </w:rPr>
              <w:t>≤</w:t>
            </w:r>
            <w:r>
              <w:rPr>
                <w:sz w:val="24"/>
                <w:szCs w:val="24"/>
              </w:rPr>
              <w:t>0.03°；</w:t>
            </w:r>
          </w:p>
          <w:p w14:paraId="0782D3BE">
            <w:pPr>
              <w:numPr>
                <w:ilvl w:val="0"/>
                <w:numId w:val="3"/>
              </w:numPr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角度重复精度：</w:t>
            </w:r>
            <w:r>
              <w:rPr>
                <w:rFonts w:asciiTheme="minorEastAsia" w:hAnsiTheme="minorEastAsia"/>
                <w:sz w:val="24"/>
                <w:szCs w:val="24"/>
              </w:rPr>
              <w:t>≤</w:t>
            </w:r>
            <w:r>
              <w:rPr>
                <w:sz w:val="24"/>
                <w:szCs w:val="24"/>
              </w:rPr>
              <w:t>0.003°；</w:t>
            </w:r>
          </w:p>
          <w:p w14:paraId="4101C1D1">
            <w:pPr>
              <w:numPr>
                <w:ilvl w:val="0"/>
                <w:numId w:val="1"/>
              </w:numPr>
              <w:adjustRightInd w:val="0"/>
              <w:snapToGrid w:val="0"/>
              <w:ind w:left="0" w:leftChars="0"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样品台：</w:t>
            </w:r>
          </w:p>
          <w:p w14:paraId="7B7545B0">
            <w:pPr>
              <w:numPr>
                <w:ilvl w:val="0"/>
                <w:numId w:val="4"/>
              </w:numPr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支持测量样品尺寸范围：6</w:t>
            </w:r>
            <w:r>
              <w:rPr>
                <w:rFonts w:hint="eastAsia"/>
                <w:sz w:val="24"/>
                <w:szCs w:val="24"/>
              </w:rPr>
              <w:t>~</w:t>
            </w:r>
            <w:r>
              <w:rPr>
                <w:sz w:val="24"/>
                <w:szCs w:val="24"/>
              </w:rPr>
              <w:t>12 inch；</w:t>
            </w:r>
          </w:p>
          <w:p w14:paraId="5CFF7E2D">
            <w:pPr>
              <w:numPr>
                <w:ilvl w:val="0"/>
                <w:numId w:val="4"/>
              </w:numPr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最大载重量：</w:t>
            </w:r>
            <w:r>
              <w:rPr>
                <w:rFonts w:ascii="宋体" w:hAnsi="宋体"/>
                <w:sz w:val="24"/>
                <w:szCs w:val="24"/>
              </w:rPr>
              <w:t>≥</w:t>
            </w:r>
            <w:r>
              <w:rPr>
                <w:sz w:val="24"/>
                <w:szCs w:val="24"/>
              </w:rPr>
              <w:t>5kg；</w:t>
            </w:r>
          </w:p>
          <w:p w14:paraId="50986D52">
            <w:pPr>
              <w:numPr>
                <w:ilvl w:val="0"/>
                <w:numId w:val="4"/>
              </w:numPr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自由度：XYZ；</w:t>
            </w:r>
          </w:p>
          <w:p w14:paraId="02A6CEFD">
            <w:pPr>
              <w:numPr>
                <w:ilvl w:val="0"/>
                <w:numId w:val="4"/>
              </w:numPr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样品夹持方式：机械</w:t>
            </w:r>
            <w:r>
              <w:rPr>
                <w:rFonts w:hint="eastAsia"/>
                <w:sz w:val="24"/>
                <w:szCs w:val="24"/>
              </w:rPr>
              <w:t>装夹或真空吸附</w:t>
            </w:r>
            <w:r>
              <w:rPr>
                <w:sz w:val="24"/>
                <w:szCs w:val="24"/>
              </w:rPr>
              <w:t>；</w:t>
            </w:r>
          </w:p>
          <w:p w14:paraId="545F7E79">
            <w:pPr>
              <w:numPr>
                <w:ilvl w:val="0"/>
                <w:numId w:val="1"/>
              </w:numPr>
              <w:adjustRightInd w:val="0"/>
              <w:snapToGrid w:val="0"/>
              <w:ind w:left="0" w:leftChars="0"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辐射防护：</w:t>
            </w:r>
          </w:p>
          <w:p w14:paraId="6E83DB7F">
            <w:pPr>
              <w:numPr>
                <w:ilvl w:val="0"/>
                <w:numId w:val="5"/>
              </w:numPr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壳体四周铅防护；</w:t>
            </w:r>
          </w:p>
          <w:p w14:paraId="53888B6D">
            <w:pPr>
              <w:numPr>
                <w:ilvl w:val="0"/>
                <w:numId w:val="5"/>
              </w:numPr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设备带有光闸及门连锁机构；</w:t>
            </w:r>
          </w:p>
          <w:p w14:paraId="3859AAD7">
            <w:pPr>
              <w:numPr>
                <w:ilvl w:val="0"/>
                <w:numId w:val="1"/>
              </w:numPr>
              <w:adjustRightInd w:val="0"/>
              <w:snapToGrid w:val="0"/>
              <w:ind w:left="0" w:leftChars="0"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冷却系统：</w:t>
            </w:r>
          </w:p>
          <w:p w14:paraId="62FBD691">
            <w:pPr>
              <w:numPr>
                <w:ilvl w:val="0"/>
                <w:numId w:val="6"/>
              </w:numPr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采用风冷或者水冷；</w:t>
            </w:r>
          </w:p>
          <w:p w14:paraId="7263580F">
            <w:pPr>
              <w:numPr>
                <w:ilvl w:val="0"/>
                <w:numId w:val="1"/>
              </w:numPr>
              <w:adjustRightInd w:val="0"/>
              <w:snapToGrid w:val="0"/>
              <w:ind w:left="0" w:leftChars="0" w:firstLine="0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测量要求：</w:t>
            </w:r>
          </w:p>
          <w:p w14:paraId="68361A0D">
            <w:pPr>
              <w:numPr>
                <w:ilvl w:val="0"/>
                <w:numId w:val="7"/>
              </w:numPr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测量速度：0.1°/min</w:t>
            </w:r>
            <w:r>
              <w:rPr>
                <w:rFonts w:hint="eastAsia"/>
                <w:sz w:val="24"/>
                <w:szCs w:val="24"/>
              </w:rPr>
              <w:t>~</w:t>
            </w:r>
            <w:r>
              <w:rPr>
                <w:sz w:val="24"/>
                <w:szCs w:val="24"/>
              </w:rPr>
              <w:t>30°/min；</w:t>
            </w:r>
          </w:p>
          <w:p w14:paraId="7E92666C">
            <w:pPr>
              <w:numPr>
                <w:ilvl w:val="0"/>
                <w:numId w:val="7"/>
              </w:numPr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定向精度：</w:t>
            </w:r>
            <w:r>
              <w:rPr>
                <w:rFonts w:ascii="宋体" w:hAnsi="宋体"/>
                <w:sz w:val="24"/>
                <w:szCs w:val="24"/>
              </w:rPr>
              <w:t>≤</w:t>
            </w:r>
            <w:r>
              <w:rPr>
                <w:sz w:val="24"/>
                <w:szCs w:val="24"/>
              </w:rPr>
              <w:t>0.01°；</w:t>
            </w:r>
          </w:p>
          <w:p w14:paraId="5170272F">
            <w:pPr>
              <w:numPr>
                <w:ilvl w:val="0"/>
                <w:numId w:val="7"/>
              </w:numPr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位置测量重复性：</w:t>
            </w:r>
            <w:r>
              <w:rPr>
                <w:rFonts w:ascii="宋体" w:hAnsi="宋体"/>
                <w:sz w:val="24"/>
                <w:szCs w:val="24"/>
              </w:rPr>
              <w:t>≤</w:t>
            </w:r>
            <w:r>
              <w:rPr>
                <w:sz w:val="24"/>
                <w:szCs w:val="24"/>
              </w:rPr>
              <w:t>0.005°；</w:t>
            </w:r>
          </w:p>
          <w:p w14:paraId="569C09EB">
            <w:pPr>
              <w:numPr>
                <w:ilvl w:val="0"/>
                <w:numId w:val="7"/>
              </w:numPr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样品间测量重复性：</w:t>
            </w:r>
            <w:r>
              <w:rPr>
                <w:rFonts w:ascii="宋体" w:hAnsi="宋体"/>
                <w:sz w:val="24"/>
                <w:szCs w:val="24"/>
              </w:rPr>
              <w:t>≤</w:t>
            </w:r>
            <w:r>
              <w:rPr>
                <w:sz w:val="24"/>
                <w:szCs w:val="24"/>
              </w:rPr>
              <w:t>0.005°；</w:t>
            </w:r>
          </w:p>
          <w:p w14:paraId="3B356007">
            <w:pPr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软件：</w:t>
            </w:r>
          </w:p>
          <w:p w14:paraId="09B1B65A">
            <w:pPr>
              <w:numPr>
                <w:ilvl w:val="0"/>
                <w:numId w:val="7"/>
              </w:numPr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仪器自动测量；</w:t>
            </w:r>
          </w:p>
          <w:p w14:paraId="01AD4AF4">
            <w:pPr>
              <w:numPr>
                <w:ilvl w:val="0"/>
                <w:numId w:val="7"/>
              </w:numPr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具有晶向测量数据处理能力，支持晶向算法；</w:t>
            </w:r>
          </w:p>
          <w:p w14:paraId="392343A0">
            <w:pPr>
              <w:numPr>
                <w:ilvl w:val="0"/>
                <w:numId w:val="7"/>
              </w:numPr>
              <w:tabs>
                <w:tab w:val="left" w:pos="6915"/>
              </w:tabs>
              <w:ind w:left="420" w:leftChars="0" w:hanging="420" w:firstLineChars="0"/>
              <w:jc w:val="left"/>
              <w:rPr>
                <w:rFonts w:hint="eastAsia"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具备测量数据存储、查询和管理能力；</w:t>
            </w:r>
          </w:p>
        </w:tc>
        <w:tc>
          <w:tcPr>
            <w:tcW w:w="1418" w:type="dxa"/>
            <w:vAlign w:val="center"/>
          </w:tcPr>
          <w:p w14:paraId="29DFE29F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76B2839D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67634D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1" w:hRule="atLeast"/>
        </w:trPr>
        <w:tc>
          <w:tcPr>
            <w:tcW w:w="705" w:type="dxa"/>
            <w:vAlign w:val="center"/>
          </w:tcPr>
          <w:p w14:paraId="711317D4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4D5A23">
            <w:pPr>
              <w:widowControl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商务条款</w:t>
            </w:r>
          </w:p>
        </w:tc>
        <w:tc>
          <w:tcPr>
            <w:tcW w:w="5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6DB812">
            <w:pPr>
              <w:tabs>
                <w:tab w:val="left" w:pos="6915"/>
              </w:tabs>
              <w:spacing w:line="240" w:lineRule="atLeas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 w14:paraId="3B8CD890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交货期：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合同签订后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个月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内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。</w:t>
            </w:r>
          </w:p>
          <w:p w14:paraId="1EC2C31F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交付进度：</w:t>
            </w:r>
            <w:r>
              <w:rPr>
                <w:rFonts w:hint="eastAsia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一次性交付</w:t>
            </w:r>
          </w:p>
          <w:p w14:paraId="4839CB0B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付款方式：</w:t>
            </w:r>
            <w:r>
              <w:rPr>
                <w:sz w:val="24"/>
                <w:szCs w:val="24"/>
              </w:rPr>
              <w:t>合同签订后，支付合同总价的80%；货物到达买家指定地点并经买家验收合格后，支付合同总价的20%。</w:t>
            </w:r>
          </w:p>
          <w:p w14:paraId="6EEB130B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验收指标及验收要求：</w:t>
            </w:r>
          </w:p>
          <w:p w14:paraId="44B7E37C">
            <w:pPr>
              <w:widowControl/>
              <w:tabs>
                <w:tab w:val="left" w:pos="312"/>
              </w:tabs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（1）设备出厂时，供应商须提供设备出厂检测报告；</w:t>
            </w:r>
          </w:p>
          <w:p w14:paraId="70A66D90">
            <w:pPr>
              <w:widowControl/>
              <w:tabs>
                <w:tab w:val="left" w:pos="312"/>
              </w:tabs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（2）设备到达指定现场安装完成后，供应商须提供标准样品，对设备测量精度进行现场检测并形成符合技术要求的测试报告。</w:t>
            </w:r>
          </w:p>
          <w:p w14:paraId="7715798B">
            <w:pPr>
              <w:tabs>
                <w:tab w:val="left" w:pos="6915"/>
              </w:tabs>
              <w:spacing w:line="240" w:lineRule="atLeast"/>
              <w:jc w:val="left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保修及售后服务：</w:t>
            </w:r>
            <w:r>
              <w:rPr>
                <w:kern w:val="0"/>
                <w:sz w:val="24"/>
                <w:szCs w:val="24"/>
              </w:rPr>
              <w:t>供应商提供不少于1年的质保服务，</w:t>
            </w:r>
            <w:r>
              <w:rPr>
                <w:rFonts w:hint="eastAsia"/>
                <w:kern w:val="0"/>
                <w:sz w:val="24"/>
                <w:szCs w:val="24"/>
              </w:rPr>
              <w:t>质保期内发生质量问题的，乙方应自接到甲方异议之日起3个工作日内响应并提出有效解决方案，所产生的费用由乙方承担；乙方需要</w:t>
            </w:r>
            <w:r>
              <w:rPr>
                <w:kern w:val="0"/>
                <w:sz w:val="24"/>
                <w:szCs w:val="24"/>
              </w:rPr>
              <w:t>提供相应技术支持</w:t>
            </w:r>
            <w:r>
              <w:rPr>
                <w:rFonts w:hint="eastAsia"/>
                <w:kern w:val="0"/>
                <w:sz w:val="24"/>
                <w:szCs w:val="24"/>
              </w:rPr>
              <w:t>，确保甲方能够及时有效的使用设备。</w:t>
            </w:r>
          </w:p>
          <w:p w14:paraId="09977ED9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其它：</w:t>
            </w:r>
          </w:p>
          <w:p w14:paraId="24A8F07A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包装：包装必须符合所采用的运输方式的要求，并要便于各环节有关人员进行操作；在保证包装牢固的前提下节省费用。货物固定在箱体内，避免内部晃动。在包装箱上四个侧面的两个较大面上分别标记向上、怕湿、禁止翻转和吊装位置等符号，应清晰、可长期保持。清晰注明收货地址、收货人和发货地址，合同号、重量、包装箱的承重点等。</w:t>
            </w:r>
          </w:p>
          <w:p w14:paraId="017F2E72">
            <w:pPr>
              <w:tabs>
                <w:tab w:val="left" w:pos="6915"/>
              </w:tabs>
              <w:spacing w:line="240" w:lineRule="atLeast"/>
              <w:jc w:val="left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运输：陆运</w:t>
            </w:r>
            <w:r>
              <w:rPr>
                <w:rFonts w:hint="eastAsia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kern w:val="0"/>
                <w:sz w:val="24"/>
                <w:szCs w:val="24"/>
              </w:rPr>
              <w:t>公路或铁路</w:t>
            </w:r>
            <w:r>
              <w:rPr>
                <w:rFonts w:hint="eastAsia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kern w:val="0"/>
                <w:sz w:val="24"/>
                <w:szCs w:val="24"/>
              </w:rPr>
              <w:t>或空运。</w:t>
            </w:r>
            <w:bookmarkStart w:id="0" w:name="_GoBack"/>
            <w:bookmarkEnd w:id="0"/>
          </w:p>
        </w:tc>
        <w:tc>
          <w:tcPr>
            <w:tcW w:w="1418" w:type="dxa"/>
            <w:vAlign w:val="center"/>
          </w:tcPr>
          <w:p w14:paraId="6EE84714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4E9B639C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</w:tbl>
    <w:p w14:paraId="6455552B">
      <w:pPr>
        <w:ind w:right="840"/>
        <w:rPr>
          <w:sz w:val="22"/>
          <w:szCs w:val="22"/>
        </w:rPr>
      </w:pPr>
    </w:p>
    <w:p w14:paraId="473EE6D2">
      <w:pPr>
        <w:ind w:right="840" w:firstLine="4620" w:firstLineChars="2100"/>
        <w:rPr>
          <w:sz w:val="22"/>
          <w:szCs w:val="22"/>
        </w:rPr>
      </w:pPr>
    </w:p>
    <w:p w14:paraId="6CCA392F">
      <w:pPr>
        <w:ind w:right="840" w:firstLine="4620" w:firstLineChars="2100"/>
        <w:rPr>
          <w:sz w:val="22"/>
          <w:szCs w:val="22"/>
        </w:rPr>
      </w:pPr>
    </w:p>
    <w:p w14:paraId="6484E376">
      <w:pPr>
        <w:ind w:right="840" w:firstLine="4620" w:firstLineChars="2100"/>
        <w:rPr>
          <w:sz w:val="22"/>
          <w:szCs w:val="22"/>
        </w:rPr>
      </w:pPr>
      <w:r>
        <w:rPr>
          <w:sz w:val="22"/>
          <w:szCs w:val="22"/>
        </w:rPr>
        <w:t>公司名称</w:t>
      </w:r>
      <w:r>
        <w:rPr>
          <w:rFonts w:hint="eastAsia"/>
          <w:sz w:val="22"/>
          <w:szCs w:val="22"/>
        </w:rPr>
        <w:t>（盖章）：</w:t>
      </w:r>
    </w:p>
    <w:p w14:paraId="1425069F">
      <w:pPr>
        <w:ind w:right="840"/>
        <w:jc w:val="center"/>
        <w:rPr>
          <w:sz w:val="24"/>
        </w:rPr>
      </w:pPr>
      <w:r>
        <w:rPr>
          <w:rFonts w:hint="eastAsia"/>
          <w:sz w:val="22"/>
          <w:szCs w:val="22"/>
        </w:rPr>
        <w:t xml:space="preserve"> </w:t>
      </w:r>
      <w:r>
        <w:rPr>
          <w:sz w:val="22"/>
          <w:szCs w:val="22"/>
        </w:rPr>
        <w:t xml:space="preserve">                            日期</w:t>
      </w:r>
      <w:r>
        <w:rPr>
          <w:rFonts w:hint="eastAsia"/>
          <w:sz w:val="22"/>
          <w:szCs w:val="22"/>
        </w:rPr>
        <w:t>：</w:t>
      </w:r>
    </w:p>
    <w:p w14:paraId="7CAF3A71"/>
    <w:p w14:paraId="7FDE0E2B"/>
    <w:p w14:paraId="6678FE61"/>
    <w:p w14:paraId="102C966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170544"/>
    <w:multiLevelType w:val="singleLevel"/>
    <w:tmpl w:val="95170544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973182C9"/>
    <w:multiLevelType w:val="singleLevel"/>
    <w:tmpl w:val="973182C9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C275AD31"/>
    <w:multiLevelType w:val="singleLevel"/>
    <w:tmpl w:val="C275AD31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D86785E2"/>
    <w:multiLevelType w:val="singleLevel"/>
    <w:tmpl w:val="D86785E2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06498619"/>
    <w:multiLevelType w:val="singleLevel"/>
    <w:tmpl w:val="06498619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5">
    <w:nsid w:val="3D3EC861"/>
    <w:multiLevelType w:val="singleLevel"/>
    <w:tmpl w:val="3D3EC861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6">
    <w:nsid w:val="71CD5698"/>
    <w:multiLevelType w:val="singleLevel"/>
    <w:tmpl w:val="71CD5698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5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1B1D27"/>
    <w:rsid w:val="5D1B1D27"/>
    <w:rsid w:val="6E262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2025-11-26T09:55:00Z</dcterms:created>
  <dc:creator>amour</dc:creator>
  <cp:lastModifiedBy>amour</cp:lastModifiedBy>
  <dcterms:modified xsi:type="dcterms:W3CDTF">2025-11-26T10:11:47Z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A88069581F604B9D8690D668B6284ECC_11</vt:lpwstr>
  </property>
  <property fmtid="{D5CDD505-2E9C-101B-9397-08002B2CF9AE}" pid="4" name="KSOTemplateDocerSaveRecord">
    <vt:lpwstr>eyJoZGlkIjoiN2RmNGQ2MDc0ZGFiNmIyNjNmMmJiNzcxMzg1OWQzY2YiLCJ1c2VySWQiOiIxMDQxNDY4Njc5In0=</vt:lpwstr>
  </property>
</Properties>
</file>