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单色光闸及泵站组件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185A65">
            <w:pPr>
              <w:tabs>
                <w:tab w:val="left" w:pos="6915"/>
              </w:tabs>
              <w:spacing w:line="240" w:lineRule="auto"/>
              <w:ind w:firstLine="420" w:firstLineChars="200"/>
              <w:rPr>
                <w:rFonts w:ascii="Times New Roman" w:hAnsi="Times New Roman" w:cs="Times New Roman"/>
                <w:bCs/>
              </w:rPr>
            </w:pPr>
            <w:bookmarkStart w:id="0" w:name="_Hlk210031690"/>
            <w:r>
              <w:rPr>
                <w:rFonts w:hint="eastAsia" w:ascii="Times New Roman" w:hAnsi="Times New Roman" w:cs="Times New Roman"/>
                <w:bCs/>
              </w:rPr>
              <w:t>原位</w:t>
            </w:r>
            <w:r>
              <w:rPr>
                <w:rFonts w:ascii="Times New Roman" w:hAnsi="Times New Roman" w:cs="Times New Roman"/>
                <w:bCs/>
              </w:rPr>
              <w:t>工况软X射线谱学与散射</w:t>
            </w:r>
            <w:r>
              <w:rPr>
                <w:rFonts w:hint="eastAsia" w:ascii="Times New Roman" w:hAnsi="Times New Roman" w:cs="Times New Roman"/>
                <w:bCs/>
              </w:rPr>
              <w:t>光束线有两条支线，现计划在两支线各布置泵站一件（共两件），为光束线提供真空环境，同时在泵站集成单色光闸，用于切断实验用光，为实验站更换样品或其它短时断光操作提供便利，其整体结构如图1</w:t>
            </w:r>
            <w:r>
              <w:rPr>
                <w:rFonts w:ascii="Times New Roman" w:hAnsi="Times New Roman" w:cs="Times New Roman"/>
                <w:bCs/>
              </w:rPr>
              <w:t>所示。其中</w:t>
            </w:r>
            <w:r>
              <w:rPr>
                <w:rFonts w:hint="eastAsia" w:ascii="Times New Roman" w:hAnsi="Times New Roman" w:cs="Times New Roman"/>
                <w:bCs/>
              </w:rPr>
              <w:t>除真空标准件（真空泵、规、阀）甲供外，其余结构均纳入本次采购，</w:t>
            </w:r>
            <w:r>
              <w:rPr>
                <w:rFonts w:ascii="Times New Roman" w:hAnsi="Times New Roman" w:cs="Times New Roman"/>
                <w:bCs/>
              </w:rPr>
              <w:t>包含真空腔体、气动闸块、水冷系统、靶标座</w:t>
            </w:r>
            <w:r>
              <w:rPr>
                <w:rFonts w:hint="eastAsia" w:ascii="Times New Roman" w:hAnsi="Times New Roman" w:cs="Times New Roman"/>
                <w:bCs/>
              </w:rPr>
              <w:t>和支架</w:t>
            </w:r>
            <w:r>
              <w:rPr>
                <w:rFonts w:ascii="Times New Roman" w:hAnsi="Times New Roman" w:cs="Times New Roman"/>
                <w:bCs/>
              </w:rPr>
              <w:t>等部件。</w:t>
            </w:r>
            <w:r>
              <w:rPr>
                <w:rFonts w:hint="eastAsia" w:ascii="Times New Roman" w:hAnsi="Times New Roman" w:cs="Times New Roman"/>
                <w:bCs/>
              </w:rPr>
              <w:t>其主要技术参数如表1所示。此外，乙方需负责单色光闸的整理集成（包含本次采购设备及甲供真空设备）。靶标采用</w:t>
            </w:r>
            <w:r>
              <w:rPr>
                <w:rFonts w:ascii="Times New Roman" w:hAnsi="Times New Roman" w:cs="Times New Roman"/>
                <w:bCs/>
              </w:rPr>
              <w:t>0.875英寸标准靶球，靶座可采用焊接式固定靶座或插销式活动靶座，参考</w:t>
            </w:r>
            <w:r>
              <w:rPr>
                <w:rFonts w:hint="eastAsia" w:ascii="Times New Roman" w:hAnsi="Times New Roman" w:cs="Times New Roman"/>
                <w:bCs/>
              </w:rPr>
              <w:t>示意图</w:t>
            </w:r>
            <w:r>
              <w:rPr>
                <w:rFonts w:ascii="Times New Roman" w:hAnsi="Times New Roman" w:cs="Times New Roman"/>
                <w:bCs/>
              </w:rPr>
              <w:t>如</w:t>
            </w:r>
            <w:r>
              <w:rPr>
                <w:rFonts w:hint="eastAsia" w:ascii="Times New Roman" w:hAnsi="Times New Roman" w:cs="Times New Roman"/>
                <w:bCs/>
              </w:rPr>
              <w:t>图2所示。</w:t>
            </w:r>
          </w:p>
          <w:bookmarkEnd w:id="0"/>
          <w:p w14:paraId="0B54C6BF">
            <w:pPr>
              <w:spacing w:line="240" w:lineRule="auto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876300</wp:posOffset>
                      </wp:positionH>
                      <wp:positionV relativeFrom="paragraph">
                        <wp:posOffset>2115820</wp:posOffset>
                      </wp:positionV>
                      <wp:extent cx="916940" cy="87630"/>
                      <wp:effectExtent l="635" t="30480" r="15875" b="15240"/>
                      <wp:wrapNone/>
                      <wp:docPr id="9" name="直接箭头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16745" cy="8792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69pt;margin-top:166.6pt;height:6.9pt;width:72.2pt;z-index:251662336;mso-width-relative:page;mso-height-relative:page;" filled="f" stroked="t" coordsize="21600,21600" o:gfxdata="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W18yXZAAAACwEAAA8AAAAAAAAA&#10;AQAgAAAAIgAAAGRycy9kb3ducmV2LnhtbFBLAQIUABQAAAAIAIdO4kBZ3v7WEAIAAO4DAAAOAAAA&#10;AAAAAAEAIAAAACgBAABkcnMvZTJvRG9jLnhtbFBLBQYAAAAABgAGAFkBAACqBQAAAAA=&#10;">
                      <v:fill on="f" focussize="0,0"/>
                      <v:stroke weight="0.5pt" color="#000000 [3200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2110105</wp:posOffset>
                      </wp:positionH>
                      <wp:positionV relativeFrom="paragraph">
                        <wp:posOffset>481330</wp:posOffset>
                      </wp:positionV>
                      <wp:extent cx="765175" cy="157480"/>
                      <wp:effectExtent l="0" t="4445" r="15875" b="28575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64930" cy="15718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166.15pt;margin-top:37.9pt;height:12.4pt;width:60.25pt;z-index:251659264;mso-width-relative:page;mso-height-relative:page;" filled="f" stroked="t" coordsize="21600,21600" o:gfxdata="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SLNCfYAAAACgEAAA8AAAAAAAAA&#10;AQAgAAAAIgAAAGRycy9kb3ducmV2LnhtbFBLAQIUABQAAAAIAIdO4kAuTJSWEQIAAO8DAAAOAAAA&#10;AAAAAAEAIAAAACcBAABkcnMvZTJvRG9jLnhtbFBLBQYAAAAABgAGAFkBAACqBQAAAAA=&#10;">
                      <v:fill on="f" focussize="0,0"/>
                      <v:stroke weight="0.5pt" color="#000000 [3200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2724785</wp:posOffset>
                      </wp:positionH>
                      <wp:positionV relativeFrom="paragraph">
                        <wp:posOffset>1468120</wp:posOffset>
                      </wp:positionV>
                      <wp:extent cx="838200" cy="328295"/>
                      <wp:effectExtent l="0" t="0" r="0" b="14605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8200" cy="3282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BB0A37">
                                  <w:r>
                                    <w:rPr>
                                      <w:rFonts w:hint="eastAsia"/>
                                    </w:rPr>
                                    <w:t>真空腔体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14.55pt;margin-top:115.6pt;height:25.85pt;width:66pt;z-index:251665408;mso-width-relative:page;mso-height-relative:page;" fillcolor="#FFFFFF [3201]" filled="t" stroked="f" coordsize="21600,21600" o:gfxdata="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HcAX7WAAAACwEAAA8AAAAA&#10;AAAAAQAgAAAAIgAAAGRycy9kb3ducmV2LnhtbFBLAQIUABQAAAAIAIdO4kCHih0iTwIAAJAEAAAO&#10;AAAAAAAAAAEAIAAAACUBAABkcnMvZTJvRG9jLnhtbFBLBQYAAAAABgAGAFkBAADm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38BB0A37">
                            <w:r>
                              <w:rPr>
                                <w:rFonts w:hint="eastAsia"/>
                              </w:rPr>
                              <w:t>真空腔体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2286000</wp:posOffset>
                      </wp:positionH>
                      <wp:positionV relativeFrom="paragraph">
                        <wp:posOffset>1122045</wp:posOffset>
                      </wp:positionV>
                      <wp:extent cx="952500" cy="253365"/>
                      <wp:effectExtent l="0" t="17145" r="19050" b="15240"/>
                      <wp:wrapNone/>
                      <wp:docPr id="7" name="直接箭头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52500" cy="25321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180pt;margin-top:88.35pt;height:19.95pt;width:75pt;z-index:251660288;mso-width-relative:page;mso-height-relative:page;" filled="f" stroked="t" coordsize="21600,21600" o:gfxdata="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WNngutkAAAALAQAADwAA&#10;AAAAAAABACAAAAAiAAAAZHJzL2Rvd25yZXYueG1sUEsBAhQAFAAAAAgAh07iQLashnsVAgAA+QMA&#10;AA4AAAAAAAAAAQAgAAAAKAEAAGRycy9lMm9Eb2MueG1sUEsFBgAAAAAGAAYAWQEAAK8FAAAAAA==&#10;">
                      <v:fill on="f" focussize="0,0"/>
                      <v:stroke weight="0.5pt" color="#000000 [3200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2242820</wp:posOffset>
                      </wp:positionV>
                      <wp:extent cx="750570" cy="328295"/>
                      <wp:effectExtent l="0" t="0" r="11430" b="14605"/>
                      <wp:wrapNone/>
                      <wp:docPr id="14" name="文本框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0277" cy="3282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9C2A93">
                                  <w:r>
                                    <w:rPr>
                                      <w:rFonts w:hint="eastAsia"/>
                                    </w:rPr>
                                    <w:t>离子泵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.75pt;margin-top:176.6pt;height:25.85pt;width:59.1pt;z-index:251667456;mso-width-relative:page;mso-height-relative:page;" fillcolor="#FFFFFF [3201]" filled="t" stroked="f" coordsize="21600,21600" o:gfxdata="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BgKsVTVAAAACgEAAA8AAAAA&#10;AAAAAQAgAAAAIgAAAGRycy9kb3ducmV2LnhtbFBLAQIUABQAAAAIAIdO4kBbNiKRUAIAAJAEAAAO&#10;AAAAAAAAAAEAIAAAACQBAABkcnMvZTJvRG9jLnhtbFBLBQYAAAAABgAGAFkBAADm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549C2A93">
                            <w:r>
                              <w:rPr>
                                <w:rFonts w:hint="eastAsia"/>
                              </w:rPr>
                              <w:t>离子泵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800735</wp:posOffset>
                      </wp:positionH>
                      <wp:positionV relativeFrom="paragraph">
                        <wp:posOffset>1598295</wp:posOffset>
                      </wp:positionV>
                      <wp:extent cx="723900" cy="239395"/>
                      <wp:effectExtent l="1270" t="4445" r="17780" b="22860"/>
                      <wp:wrapNone/>
                      <wp:docPr id="8" name="直接箭头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23705" cy="239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63.05pt;margin-top:125.85pt;height:18.85pt;width:57pt;z-index:251661312;mso-width-relative:page;mso-height-relative:page;" filled="f" stroked="t" coordsize="21600,21600" o:gfxdata="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mF2VDYAAAACwEAAA8AAAAAAAAAAQAgAAAAIgAA&#10;AGRycy9kb3ducmV2LnhtbFBLAQIUABQAAAAIAIdO4kAlJx3NCAIAAOUDAAAOAAAAAAAAAAEAIAAA&#10;ACcBAABkcnMvZTJvRG9jLnhtbFBLBQYAAAAABgAGAFkBAAChBQAAAAA=&#10;">
                      <v:fill on="f" focussize="0,0"/>
                      <v:stroke weight="0.5pt" color="#000000 [3200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264160</wp:posOffset>
                      </wp:positionH>
                      <wp:positionV relativeFrom="paragraph">
                        <wp:posOffset>1500505</wp:posOffset>
                      </wp:positionV>
                      <wp:extent cx="551180" cy="328295"/>
                      <wp:effectExtent l="0" t="0" r="1270" b="14605"/>
                      <wp:wrapNone/>
                      <wp:docPr id="13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0984" cy="3282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A061E36">
                                  <w:r>
                                    <w:rPr>
                                      <w:rFonts w:hint="eastAsia"/>
                                    </w:rPr>
                                    <w:t>支架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0.8pt;margin-top:118.15pt;height:25.85pt;width:43.4pt;z-index:251666432;mso-width-relative:page;mso-height-relative:page;" fillcolor="#FFFFFF [3201]" filled="t" stroked="f" coordsize="21600,21600" o:gfxdata="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PR34vVAAAACgEAAA8AAAAA&#10;AAAAAQAgAAAAIgAAAGRycy9kb3ducmV2LnhtbFBLAQIUABQAAAAIAIdO4kDFBu2eUAIAAJAEAAAO&#10;AAAAAAAAAAEAIAAAACQBAABkcnMvZTJvRG9jLnhtbFBLBQYAAAAABgAGAFkBAADm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A061E36">
                            <w:r>
                              <w:rPr>
                                <w:rFonts w:hint="eastAsia"/>
                              </w:rPr>
                              <w:t>支架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2628900</wp:posOffset>
                      </wp:positionH>
                      <wp:positionV relativeFrom="paragraph">
                        <wp:posOffset>409575</wp:posOffset>
                      </wp:positionV>
                      <wp:extent cx="838200" cy="328295"/>
                      <wp:effectExtent l="0" t="0" r="0" b="14605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8200" cy="3282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C8C459">
                                  <w:r>
                                    <w:rPr>
                                      <w:rFonts w:hint="eastAsia"/>
                                    </w:rPr>
                                    <w:t>气动闸块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07pt;margin-top:32.25pt;height:25.85pt;width:66pt;z-index:251664384;mso-width-relative:page;mso-height-relative:page;" fillcolor="#FFFFFF [3201]" filled="t" stroked="f" coordsize="21600,21600" o:gfxdata="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5a9pAdUAAAAKAQAADwAAAAAA&#10;AAABACAAAAAiAAAAZHJzL2Rvd25yZXYueG1sUEsBAhQAFAAAAAgAh07iQKYryxZPAgAAkAQAAA4A&#10;AAAAAAAAAQAgAAAAJAEAAGRycy9lMm9Eb2MueG1sUEsFBgAAAAAGAAYAWQEAAOU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3C8C459">
                            <w:r>
                              <w:rPr>
                                <w:rFonts w:hint="eastAsia"/>
                              </w:rPr>
                              <w:t>气动闸块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671830</wp:posOffset>
                      </wp:positionV>
                      <wp:extent cx="805815" cy="280670"/>
                      <wp:effectExtent l="1270" t="4445" r="12065" b="19685"/>
                      <wp:wrapNone/>
                      <wp:docPr id="10" name="直接箭头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5766" cy="28081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61pt;margin-top:52.9pt;height:22.1pt;width:63.45pt;z-index:251663360;mso-width-relative:page;mso-height-relative:page;" filled="f" stroked="t" coordsize="21600,21600" o:gfxdata="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/nHPRNcAAAALAQAADwAAAAAAAAABACAAAAAiAAAA&#10;ZHJzL2Rvd25yZXYueG1sUEsBAhQAFAAAAAgAh07iQKWGB7gIAgAA5wMAAA4AAAAAAAAAAQAgAAAA&#10;JgEAAGRycy9lMm9Eb2MueG1sUEsFBgAAAAAGAAYAWQEAAKAFAAAAAA==&#10;">
                      <v:fill on="f" focussize="0,0"/>
                      <v:stroke weight="0.5pt" color="#000000 [3200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424815</wp:posOffset>
                      </wp:positionV>
                      <wp:extent cx="709295" cy="328295"/>
                      <wp:effectExtent l="0" t="0" r="14605" b="14605"/>
                      <wp:wrapNone/>
                      <wp:docPr id="15" name="文本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9246" cy="3282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5BF483">
                                  <w:r>
                                    <w:rPr>
                                      <w:rFonts w:hint="eastAsia"/>
                                    </w:rPr>
                                    <w:t>靶标座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6.65pt;margin-top:33.45pt;height:25.85pt;width:55.85pt;z-index:251668480;mso-width-relative:page;mso-height-relative:page;" fillcolor="#FFFFFF [3201]" filled="t" stroked="f" coordsize="21600,21600" o:gfxdata="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D2Afo1AAAAAkBAAAPAAAAAAAA&#10;AAEAIAAAACIAAABkcnMvZG93bnJldi54bWxQSwECFAAUAAAACACHTuJA+9NozE8CAACQBAAADgAA&#10;AAAAAAABACAAAAAjAQAAZHJzL2Uyb0RvYy54bWxQSwUGAAAAAAYABgBZAQAA5A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555BF483">
                            <w:r>
                              <w:rPr>
                                <w:rFonts w:hint="eastAsia"/>
                              </w:rPr>
                              <w:t>靶标座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b/>
                <w:bCs/>
              </w:rPr>
              <w:drawing>
                <wp:inline distT="0" distB="0" distL="0" distR="0">
                  <wp:extent cx="1881505" cy="3569970"/>
                  <wp:effectExtent l="0" t="0" r="4445" b="1143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1505" cy="3569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5937DF">
            <w:pPr>
              <w:spacing w:line="24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图1：单色光闸整体结构</w:t>
            </w:r>
          </w:p>
          <w:p w14:paraId="264F47CF">
            <w:pPr>
              <w:spacing w:line="24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表1：单色光闸技术参数</w:t>
            </w:r>
          </w:p>
          <w:tbl>
            <w:tblPr>
              <w:tblStyle w:val="5"/>
              <w:tblW w:w="5958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13"/>
              <w:gridCol w:w="1574"/>
              <w:gridCol w:w="3171"/>
            </w:tblGrid>
            <w:tr w14:paraId="7F67E0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6" w:hRule="atLeast"/>
                <w:jc w:val="center"/>
              </w:trPr>
              <w:tc>
                <w:tcPr>
                  <w:tcW w:w="1213" w:type="dxa"/>
                  <w:vMerge w:val="restart"/>
                  <w:vAlign w:val="center"/>
                </w:tcPr>
                <w:p w14:paraId="6704DB00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单色光闸</w:t>
                  </w:r>
                </w:p>
              </w:tc>
              <w:tc>
                <w:tcPr>
                  <w:tcW w:w="1574" w:type="dxa"/>
                  <w:vAlign w:val="center"/>
                </w:tcPr>
                <w:p w14:paraId="4052767A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数量</w:t>
                  </w:r>
                </w:p>
              </w:tc>
              <w:tc>
                <w:tcPr>
                  <w:tcW w:w="3171" w:type="dxa"/>
                  <w:vAlign w:val="center"/>
                </w:tcPr>
                <w:p w14:paraId="3697FA3E">
                  <w:pPr>
                    <w:spacing w:line="240" w:lineRule="auto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bCs/>
                      <w:szCs w:val="21"/>
                    </w:rPr>
                    <w:t>2</w:t>
                  </w:r>
                </w:p>
              </w:tc>
            </w:tr>
            <w:tr w14:paraId="45ABD1C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6" w:hRule="atLeast"/>
                <w:jc w:val="center"/>
              </w:trPr>
              <w:tc>
                <w:tcPr>
                  <w:tcW w:w="1213" w:type="dxa"/>
                  <w:vMerge w:val="continue"/>
                  <w:vAlign w:val="center"/>
                </w:tcPr>
                <w:p w14:paraId="0A0834ED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</w:p>
              </w:tc>
              <w:tc>
                <w:tcPr>
                  <w:tcW w:w="1574" w:type="dxa"/>
                  <w:vAlign w:val="center"/>
                </w:tcPr>
                <w:p w14:paraId="77E31115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中心高度</w:t>
                  </w:r>
                </w:p>
              </w:tc>
              <w:tc>
                <w:tcPr>
                  <w:tcW w:w="3171" w:type="dxa"/>
                  <w:vAlign w:val="center"/>
                </w:tcPr>
                <w:p w14:paraId="5D133A2E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1</w:t>
                  </w:r>
                  <w:r>
                    <w:rPr>
                      <w:rFonts w:ascii="仿宋" w:hAnsi="仿宋" w:eastAsia="仿宋"/>
                      <w:szCs w:val="21"/>
                    </w:rPr>
                    <w:t xml:space="preserve">320 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mm</w:t>
                  </w:r>
                </w:p>
              </w:tc>
            </w:tr>
            <w:tr w14:paraId="792E08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6" w:hRule="atLeast"/>
                <w:jc w:val="center"/>
              </w:trPr>
              <w:tc>
                <w:tcPr>
                  <w:tcW w:w="1213" w:type="dxa"/>
                  <w:vMerge w:val="continue"/>
                  <w:vAlign w:val="center"/>
                </w:tcPr>
                <w:p w14:paraId="55AE8AF0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</w:p>
              </w:tc>
              <w:tc>
                <w:tcPr>
                  <w:tcW w:w="1574" w:type="dxa"/>
                  <w:vAlign w:val="center"/>
                </w:tcPr>
                <w:p w14:paraId="2414FB45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真空腔体</w:t>
                  </w:r>
                </w:p>
              </w:tc>
              <w:tc>
                <w:tcPr>
                  <w:tcW w:w="3171" w:type="dxa"/>
                  <w:vAlign w:val="center"/>
                </w:tcPr>
                <w:p w14:paraId="31BA7DEF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1.腔体材质：3</w:t>
                  </w:r>
                  <w:r>
                    <w:rPr>
                      <w:rFonts w:ascii="仿宋" w:hAnsi="仿宋" w:eastAsia="仿宋"/>
                      <w:szCs w:val="21"/>
                    </w:rPr>
                    <w:t>16L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/</w:t>
                  </w:r>
                  <w:r>
                    <w:rPr>
                      <w:rFonts w:ascii="仿宋" w:hAnsi="仿宋" w:eastAsia="仿宋"/>
                      <w:szCs w:val="21"/>
                    </w:rPr>
                    <w:t>316/304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不锈钢</w:t>
                  </w:r>
                </w:p>
                <w:p w14:paraId="633E489A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2</w:t>
                  </w:r>
                  <w:r>
                    <w:rPr>
                      <w:rFonts w:ascii="仿宋" w:hAnsi="仿宋" w:eastAsia="仿宋"/>
                      <w:szCs w:val="21"/>
                    </w:rPr>
                    <w:t>.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真空度：≤6×10</w:t>
                  </w:r>
                  <w:r>
                    <w:rPr>
                      <w:rFonts w:hint="eastAsia" w:ascii="仿宋" w:hAnsi="仿宋" w:eastAsia="仿宋"/>
                      <w:szCs w:val="21"/>
                      <w:vertAlign w:val="superscript"/>
                    </w:rPr>
                    <w:t>-8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 xml:space="preserve"> Pa</w:t>
                  </w:r>
                </w:p>
                <w:p w14:paraId="53F856FD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ascii="仿宋" w:hAnsi="仿宋" w:eastAsia="仿宋"/>
                      <w:szCs w:val="21"/>
                    </w:rPr>
                    <w:t>3.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漏率：≤1×10</w:t>
                  </w:r>
                  <w:r>
                    <w:rPr>
                      <w:rFonts w:hint="eastAsia" w:ascii="仿宋" w:hAnsi="仿宋" w:eastAsia="仿宋"/>
                      <w:szCs w:val="21"/>
                      <w:vertAlign w:val="superscript"/>
                    </w:rPr>
                    <w:t>-8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 xml:space="preserve"> Pa·L/s</w:t>
                  </w:r>
                </w:p>
              </w:tc>
            </w:tr>
            <w:tr w14:paraId="456029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54" w:hRule="atLeast"/>
                <w:jc w:val="center"/>
              </w:trPr>
              <w:tc>
                <w:tcPr>
                  <w:tcW w:w="1213" w:type="dxa"/>
                  <w:vMerge w:val="continue"/>
                  <w:vAlign w:val="center"/>
                </w:tcPr>
                <w:p w14:paraId="4F2744B4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</w:p>
              </w:tc>
              <w:tc>
                <w:tcPr>
                  <w:tcW w:w="1574" w:type="dxa"/>
                  <w:vAlign w:val="center"/>
                </w:tcPr>
                <w:p w14:paraId="30838489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闸块</w:t>
                  </w:r>
                </w:p>
              </w:tc>
              <w:tc>
                <w:tcPr>
                  <w:tcW w:w="3171" w:type="dxa"/>
                  <w:vAlign w:val="center"/>
                </w:tcPr>
                <w:p w14:paraId="408038C3">
                  <w:pPr>
                    <w:spacing w:line="240" w:lineRule="auto"/>
                    <w:rPr>
                      <w:rFonts w:ascii="仿宋" w:hAnsi="仿宋" w:eastAsia="仿宋"/>
                      <w:b/>
                      <w:bCs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1.闸块尺寸：</w:t>
                  </w:r>
                  <w:r>
                    <w:rPr>
                      <w:rFonts w:ascii="仿宋" w:hAnsi="仿宋" w:eastAsia="仿宋"/>
                      <w:szCs w:val="21"/>
                    </w:rPr>
                    <w:t>110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×</w:t>
                  </w:r>
                  <w:r>
                    <w:rPr>
                      <w:rFonts w:ascii="仿宋" w:hAnsi="仿宋" w:eastAsia="仿宋"/>
                      <w:szCs w:val="21"/>
                    </w:rPr>
                    <w:t>90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×</w:t>
                  </w:r>
                  <w:r>
                    <w:rPr>
                      <w:rFonts w:ascii="仿宋" w:hAnsi="仿宋" w:eastAsia="仿宋"/>
                      <w:szCs w:val="21"/>
                    </w:rPr>
                    <w:t>50</w:t>
                  </w:r>
                </w:p>
                <w:p w14:paraId="0A71C7DC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</w:rPr>
                    <w:t>2</w:t>
                  </w:r>
                  <w:r>
                    <w:rPr>
                      <w:rFonts w:ascii="仿宋" w:hAnsi="仿宋" w:eastAsia="仿宋"/>
                    </w:rPr>
                    <w:t>.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运动行程：≥5</w:t>
                  </w:r>
                  <w:r>
                    <w:rPr>
                      <w:rFonts w:ascii="仿宋" w:hAnsi="仿宋" w:eastAsia="仿宋"/>
                      <w:szCs w:val="21"/>
                    </w:rPr>
                    <w:t>0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mm</w:t>
                  </w:r>
                </w:p>
                <w:p w14:paraId="57E01BF4">
                  <w:pPr>
                    <w:spacing w:line="240" w:lineRule="auto"/>
                    <w:rPr>
                      <w:rFonts w:ascii="仿宋" w:hAnsi="仿宋" w:eastAsia="仿宋"/>
                    </w:rPr>
                  </w:pPr>
                  <w:r>
                    <w:rPr>
                      <w:rFonts w:hint="eastAsia" w:ascii="仿宋" w:hAnsi="仿宋" w:eastAsia="仿宋"/>
                    </w:rPr>
                    <w:t>3</w:t>
                  </w:r>
                  <w:r>
                    <w:rPr>
                      <w:rFonts w:ascii="仿宋" w:hAnsi="仿宋" w:eastAsia="仿宋"/>
                    </w:rPr>
                    <w:t>.</w:t>
                  </w:r>
                  <w:r>
                    <w:rPr>
                      <w:rFonts w:hint="eastAsia" w:ascii="仿宋" w:hAnsi="仿宋" w:eastAsia="仿宋"/>
                    </w:rPr>
                    <w:t>重复定位精度：≤1mm</w:t>
                  </w:r>
                </w:p>
                <w:p w14:paraId="120E6523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ascii="仿宋" w:hAnsi="仿宋" w:eastAsia="仿宋"/>
                      <w:szCs w:val="21"/>
                    </w:rPr>
                    <w:t>4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.材料：</w:t>
                  </w:r>
                  <w:r>
                    <w:rPr>
                      <w:rFonts w:ascii="仿宋" w:hAnsi="仿宋" w:eastAsia="仿宋"/>
                      <w:szCs w:val="21"/>
                    </w:rPr>
                    <w:t>95W3Ni2Fe</w:t>
                  </w:r>
                </w:p>
                <w:p w14:paraId="4D4AB074">
                  <w:pPr>
                    <w:spacing w:line="240" w:lineRule="auto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  <w:r>
                    <w:rPr>
                      <w:rFonts w:ascii="仿宋" w:hAnsi="仿宋" w:eastAsia="仿宋"/>
                      <w:szCs w:val="21"/>
                    </w:rPr>
                    <w:t>5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.水冷</w:t>
                  </w:r>
                </w:p>
              </w:tc>
            </w:tr>
            <w:tr w14:paraId="1B33E0D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6" w:hRule="atLeast"/>
                <w:jc w:val="center"/>
              </w:trPr>
              <w:tc>
                <w:tcPr>
                  <w:tcW w:w="1213" w:type="dxa"/>
                  <w:vMerge w:val="continue"/>
                  <w:vAlign w:val="center"/>
                </w:tcPr>
                <w:p w14:paraId="0A8F5777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</w:p>
              </w:tc>
              <w:tc>
                <w:tcPr>
                  <w:tcW w:w="1574" w:type="dxa"/>
                  <w:vAlign w:val="center"/>
                </w:tcPr>
                <w:p w14:paraId="381B3025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真空泵（甲供）</w:t>
                  </w:r>
                </w:p>
              </w:tc>
              <w:tc>
                <w:tcPr>
                  <w:tcW w:w="3171" w:type="dxa"/>
                  <w:vAlign w:val="center"/>
                </w:tcPr>
                <w:p w14:paraId="0612D2F6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离子泵，2</w:t>
                  </w:r>
                  <w:r>
                    <w:rPr>
                      <w:rFonts w:ascii="仿宋" w:hAnsi="仿宋" w:eastAsia="仿宋"/>
                      <w:szCs w:val="21"/>
                    </w:rPr>
                    <w:t>00 L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/s</w:t>
                  </w:r>
                </w:p>
              </w:tc>
            </w:tr>
            <w:tr w14:paraId="1496F04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81" w:hRule="atLeast"/>
                <w:jc w:val="center"/>
              </w:trPr>
              <w:tc>
                <w:tcPr>
                  <w:tcW w:w="1213" w:type="dxa"/>
                  <w:vMerge w:val="continue"/>
                  <w:vAlign w:val="center"/>
                </w:tcPr>
                <w:p w14:paraId="5CE0894D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</w:p>
              </w:tc>
              <w:tc>
                <w:tcPr>
                  <w:tcW w:w="1574" w:type="dxa"/>
                  <w:vAlign w:val="center"/>
                </w:tcPr>
                <w:p w14:paraId="2D003EB1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其他</w:t>
                  </w:r>
                </w:p>
              </w:tc>
              <w:tc>
                <w:tcPr>
                  <w:tcW w:w="3171" w:type="dxa"/>
                  <w:vAlign w:val="center"/>
                </w:tcPr>
                <w:p w14:paraId="27A68448">
                  <w:pPr>
                    <w:spacing w:line="240" w:lineRule="auto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1．支撑平台上提供电气转接板，器件的电气引线连接至转接板，电气接口遵照附件一《HALF光束线设备采购中机电系统和控制系统的要求》</w:t>
                  </w:r>
                </w:p>
                <w:p w14:paraId="7D71DF78">
                  <w:pPr>
                    <w:spacing w:line="240" w:lineRule="auto"/>
                    <w:rPr>
                      <w:rFonts w:ascii="仿宋" w:hAnsi="仿宋" w:eastAsia="仿宋" w:cs="仿宋"/>
                    </w:rPr>
                  </w:pPr>
                  <w:r>
                    <w:rPr>
                      <w:rFonts w:ascii="仿宋" w:hAnsi="仿宋" w:eastAsia="仿宋" w:cs="仿宋"/>
                      <w:szCs w:val="22"/>
                    </w:rPr>
                    <w:t>2.</w:t>
                  </w:r>
                  <w:r>
                    <w:rPr>
                      <w:rFonts w:hint="eastAsia" w:ascii="仿宋" w:hAnsi="仿宋" w:eastAsia="仿宋" w:cs="仿宋"/>
                      <w:szCs w:val="22"/>
                    </w:rPr>
                    <w:t>无氧铜密封圈、螺钉、螺母、卡套、地脚螺钉、标准紧固件按多于图纸要求数量的</w:t>
                  </w:r>
                  <w:r>
                    <w:rPr>
                      <w:rFonts w:ascii="仿宋" w:hAnsi="仿宋" w:eastAsia="仿宋" w:cs="仿宋"/>
                      <w:szCs w:val="22"/>
                    </w:rPr>
                    <w:t>20%</w:t>
                  </w:r>
                  <w:r>
                    <w:rPr>
                      <w:rFonts w:hint="eastAsia" w:ascii="仿宋" w:hAnsi="仿宋" w:eastAsia="仿宋" w:cs="仿宋"/>
                      <w:szCs w:val="22"/>
                    </w:rPr>
                    <w:t>提供备件。</w:t>
                  </w:r>
                </w:p>
              </w:tc>
            </w:tr>
          </w:tbl>
          <w:p w14:paraId="787530FA">
            <w:pPr>
              <w:spacing w:line="240" w:lineRule="auto"/>
              <w:ind w:firstLine="420" w:firstLineChars="200"/>
              <w:jc w:val="center"/>
            </w:pPr>
            <w:r>
              <w:drawing>
                <wp:inline distT="0" distB="0" distL="0" distR="0">
                  <wp:extent cx="2449830" cy="3188970"/>
                  <wp:effectExtent l="0" t="0" r="7620" b="1143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830" cy="318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drawing>
                <wp:inline distT="0" distB="0" distL="0" distR="0">
                  <wp:extent cx="2080895" cy="3206115"/>
                  <wp:effectExtent l="0" t="0" r="14605" b="133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0895" cy="320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D1A6F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hint="eastAsia" w:ascii="仿宋" w:hAnsi="仿宋" w:eastAsia="仿宋" w:cs="仿宋"/>
              </w:rPr>
              <w:t>图2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参考靶座设计：（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上</w:t>
            </w:r>
            <w:r>
              <w:rPr>
                <w:rFonts w:hint="eastAsia" w:ascii="仿宋" w:hAnsi="仿宋" w:eastAsia="仿宋" w:cs="仿宋"/>
              </w:rPr>
              <w:t>）焊接式靶座，（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下</w:t>
            </w:r>
            <w:r>
              <w:rPr>
                <w:rFonts w:hint="eastAsia" w:ascii="仿宋" w:hAnsi="仿宋" w:eastAsia="仿宋" w:cs="仿宋"/>
              </w:rPr>
              <w:t>）插销式靶座</w:t>
            </w:r>
          </w:p>
          <w:p w14:paraId="4A1EB694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注：报价时需提供以下材料：</w:t>
            </w:r>
          </w:p>
          <w:p w14:paraId="6851E551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资质文件：须提供有效的营业执照复印件，以及制造商针对本项目出具的售后服务承诺书原件（均需加盖公章）。</w:t>
            </w:r>
          </w:p>
          <w:p w14:paraId="6723CA04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hint="eastAsia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</w:rPr>
              <w:t>相关业绩证明：投标方须提供不少于一项能证明</w:t>
            </w:r>
            <w:r>
              <w:rPr>
                <w:rFonts w:hint="eastAsia" w:ascii="Times New Roman" w:hAnsi="Times New Roman" w:cs="Times New Roman"/>
                <w:bCs/>
              </w:rPr>
              <w:t>其具有真空度小于</w:t>
            </w:r>
            <w:r>
              <w:rPr>
                <w:rFonts w:ascii="Times New Roman" w:hAnsi="Times New Roman" w:cs="Times New Roman"/>
                <w:bCs/>
              </w:rPr>
              <w:t>6×10</w:t>
            </w:r>
            <w:r>
              <w:rPr>
                <w:rFonts w:ascii="Times New Roman" w:hAnsi="Times New Roman" w:cs="Times New Roman"/>
                <w:bCs/>
                <w:vertAlign w:val="superscript"/>
              </w:rPr>
              <w:t>-8</w:t>
            </w:r>
            <w:r>
              <w:rPr>
                <w:rFonts w:ascii="Times New Roman" w:hAnsi="Times New Roman" w:cs="Times New Roman"/>
                <w:bCs/>
              </w:rPr>
              <w:t xml:space="preserve"> Pa</w:t>
            </w:r>
            <w:r>
              <w:rPr>
                <w:rFonts w:hint="eastAsia" w:ascii="Times New Roman" w:hAnsi="Times New Roman" w:cs="Times New Roman"/>
                <w:bCs/>
              </w:rPr>
              <w:t>的</w:t>
            </w:r>
            <w:r>
              <w:rPr>
                <w:rFonts w:ascii="Times New Roman" w:hAnsi="Times New Roman" w:cs="Times New Roman"/>
                <w:bCs/>
              </w:rPr>
              <w:t>类似产品</w:t>
            </w:r>
            <w:r>
              <w:rPr>
                <w:rFonts w:hint="eastAsia" w:ascii="Times New Roman" w:hAnsi="Times New Roman" w:cs="Times New Roman"/>
                <w:bCs/>
              </w:rPr>
              <w:t>加工能力的</w:t>
            </w:r>
            <w:r>
              <w:rPr>
                <w:rFonts w:ascii="Times New Roman" w:hAnsi="Times New Roman" w:cs="Times New Roman"/>
                <w:bCs/>
              </w:rPr>
              <w:t>交付业绩案例。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  <w:bookmarkStart w:id="1" w:name="_GoBack"/>
            <w:bookmarkEnd w:id="1"/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交货期：</w:t>
            </w:r>
            <w:r>
              <w:rPr>
                <w:rFonts w:ascii="Times New Roman" w:hAnsi="Times New Roman" w:cs="Times New Roman"/>
                <w:bCs/>
              </w:rPr>
              <w:t>合同签订后</w:t>
            </w:r>
            <w:r>
              <w:rPr>
                <w:rFonts w:hint="eastAsia" w:ascii="Times New Roman" w:hAnsi="Times New Roman" w:cs="Times New Roman"/>
                <w:bCs/>
              </w:rPr>
              <w:t>7</w:t>
            </w:r>
            <w:r>
              <w:rPr>
                <w:rFonts w:ascii="Times New Roman" w:hAnsi="Times New Roman" w:cs="Times New Roman"/>
                <w:bCs/>
              </w:rPr>
              <w:t>个月内交货到指定地点。</w:t>
            </w:r>
          </w:p>
          <w:p w14:paraId="74A88A96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交付进度：</w:t>
            </w:r>
          </w:p>
          <w:p w14:paraId="17BB7426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合同签订之日起2</w:t>
            </w:r>
            <w:r>
              <w:rPr>
                <w:rFonts w:hint="eastAsia" w:ascii="Times New Roman" w:hAnsi="Times New Roman" w:cs="Times New Roman"/>
                <w:bCs/>
              </w:rPr>
              <w:t>个</w:t>
            </w:r>
            <w:r>
              <w:rPr>
                <w:rFonts w:ascii="Times New Roman" w:hAnsi="Times New Roman" w:cs="Times New Roman"/>
                <w:bCs/>
              </w:rPr>
              <w:t>月</w:t>
            </w:r>
            <w:r>
              <w:rPr>
                <w:rFonts w:hint="eastAsia" w:ascii="Times New Roman" w:hAnsi="Times New Roman" w:cs="Times New Roman"/>
                <w:bCs/>
              </w:rPr>
              <w:t>内</w:t>
            </w:r>
            <w:r>
              <w:rPr>
                <w:rFonts w:ascii="Times New Roman" w:hAnsi="Times New Roman" w:cs="Times New Roman"/>
                <w:bCs/>
              </w:rPr>
              <w:t>完成设备工艺设计优化，</w:t>
            </w:r>
            <w:r>
              <w:rPr>
                <w:rFonts w:hint="eastAsia" w:ascii="Times New Roman" w:hAnsi="Times New Roman" w:cs="Times New Roman"/>
                <w:bCs/>
              </w:rPr>
              <w:t>交付经甲方认可的二维加工图纸</w:t>
            </w:r>
            <w:r>
              <w:rPr>
                <w:rFonts w:ascii="Times New Roman" w:hAnsi="Times New Roman" w:cs="Times New Roman"/>
                <w:bCs/>
              </w:rPr>
              <w:t>；</w:t>
            </w:r>
          </w:p>
          <w:p w14:paraId="0D639D5D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合同签订之日起</w:t>
            </w:r>
            <w:r>
              <w:rPr>
                <w:rFonts w:hint="eastAsia" w:ascii="Times New Roman" w:hAnsi="Times New Roman" w:cs="Times New Roman"/>
                <w:bCs/>
              </w:rPr>
              <w:t>6</w:t>
            </w:r>
            <w:r>
              <w:rPr>
                <w:rFonts w:ascii="Times New Roman" w:hAnsi="Times New Roman" w:cs="Times New Roman"/>
                <w:bCs/>
              </w:rPr>
              <w:t>个月内完成出厂测试，提交关键部件检测和出厂测试报告；</w:t>
            </w:r>
          </w:p>
          <w:p w14:paraId="4198BE2B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合同签订之日起7个月内交货到甲方指定地点，并提供出厂验收测试报告。</w:t>
            </w:r>
          </w:p>
          <w:p w14:paraId="063DF81A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付款方式：</w:t>
            </w:r>
          </w:p>
          <w:p w14:paraId="1AE9636C">
            <w:pPr>
              <w:tabs>
                <w:tab w:val="left" w:pos="6915"/>
              </w:tabs>
              <w:spacing w:line="240" w:lineRule="auto"/>
              <w:ind w:firstLine="420" w:firstLineChars="20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1） 合同签订后，甲方预付合同总金额的30 %；</w:t>
            </w:r>
          </w:p>
          <w:p w14:paraId="0697DD4F">
            <w:pPr>
              <w:tabs>
                <w:tab w:val="left" w:pos="6915"/>
              </w:tabs>
              <w:spacing w:line="240" w:lineRule="auto"/>
              <w:ind w:firstLine="420" w:firstLineChars="20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2） 货到验收合格且收到乙方提供的全额发票后，付清尾款。</w:t>
            </w:r>
          </w:p>
          <w:p w14:paraId="2578A36F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验收指标及验收要求：</w:t>
            </w:r>
          </w:p>
          <w:tbl>
            <w:tblPr>
              <w:tblStyle w:val="5"/>
              <w:tblW w:w="617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56"/>
              <w:gridCol w:w="1218"/>
              <w:gridCol w:w="3705"/>
            </w:tblGrid>
            <w:tr w14:paraId="59D9DF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8" w:hRule="atLeast"/>
                <w:jc w:val="center"/>
              </w:trPr>
              <w:tc>
                <w:tcPr>
                  <w:tcW w:w="1256" w:type="dxa"/>
                  <w:vMerge w:val="restart"/>
                  <w:vAlign w:val="center"/>
                </w:tcPr>
                <w:p w14:paraId="7ED3C1D5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单色光闸</w:t>
                  </w:r>
                </w:p>
              </w:tc>
              <w:tc>
                <w:tcPr>
                  <w:tcW w:w="1218" w:type="dxa"/>
                  <w:vAlign w:val="center"/>
                </w:tcPr>
                <w:p w14:paraId="1CC00B22">
                  <w:pPr>
                    <w:spacing w:line="240" w:lineRule="auto"/>
                    <w:jc w:val="center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真空腔体</w:t>
                  </w:r>
                </w:p>
              </w:tc>
              <w:tc>
                <w:tcPr>
                  <w:tcW w:w="3705" w:type="dxa"/>
                  <w:vAlign w:val="center"/>
                </w:tcPr>
                <w:p w14:paraId="0E77C97B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1.3</w:t>
                  </w:r>
                  <w:r>
                    <w:rPr>
                      <w:rFonts w:ascii="仿宋" w:hAnsi="仿宋" w:eastAsia="仿宋"/>
                      <w:szCs w:val="21"/>
                    </w:rPr>
                    <w:t>16L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/</w:t>
                  </w:r>
                  <w:r>
                    <w:rPr>
                      <w:rFonts w:ascii="仿宋" w:hAnsi="仿宋" w:eastAsia="仿宋"/>
                      <w:szCs w:val="21"/>
                    </w:rPr>
                    <w:t>316/304L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不锈钢（</w:t>
                  </w:r>
                  <w:r>
                    <w:rPr>
                      <w:rFonts w:hint="eastAsia" w:eastAsia="仿宋"/>
                    </w:rPr>
                    <w:t>3</w:t>
                  </w:r>
                  <w:r>
                    <w:rPr>
                      <w:rFonts w:eastAsia="仿宋"/>
                    </w:rPr>
                    <w:t>16L</w:t>
                  </w:r>
                  <w:r>
                    <w:rPr>
                      <w:rFonts w:hint="eastAsia" w:eastAsia="仿宋"/>
                    </w:rPr>
                    <w:t>或3</w:t>
                  </w:r>
                  <w:r>
                    <w:rPr>
                      <w:rFonts w:eastAsia="仿宋"/>
                    </w:rPr>
                    <w:t>16</w:t>
                  </w:r>
                  <w:r>
                    <w:rPr>
                      <w:rFonts w:hint="eastAsia" w:eastAsia="仿宋"/>
                    </w:rPr>
                    <w:t>提供原材料规格书，3</w:t>
                  </w:r>
                  <w:r>
                    <w:rPr>
                      <w:rFonts w:eastAsia="仿宋"/>
                    </w:rPr>
                    <w:t>04L</w:t>
                  </w:r>
                  <w:r>
                    <w:rPr>
                      <w:rFonts w:hint="eastAsia" w:eastAsia="仿宋"/>
                    </w:rPr>
                    <w:t>附加真空退火除氢工艺过程证明材料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）</w:t>
                  </w:r>
                </w:p>
                <w:p w14:paraId="24793B04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ascii="仿宋" w:hAnsi="仿宋" w:eastAsia="仿宋"/>
                      <w:szCs w:val="21"/>
                    </w:rPr>
                    <w:t>2.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漏率：≤1×10</w:t>
                  </w:r>
                  <w:r>
                    <w:rPr>
                      <w:rFonts w:hint="eastAsia" w:ascii="仿宋" w:hAnsi="仿宋" w:eastAsia="仿宋"/>
                      <w:szCs w:val="21"/>
                      <w:vertAlign w:val="superscript"/>
                    </w:rPr>
                    <w:t>-8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 xml:space="preserve"> Pa·L/s</w:t>
                  </w:r>
                </w:p>
              </w:tc>
            </w:tr>
            <w:tr w14:paraId="13B00B6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96" w:hRule="atLeast"/>
                <w:jc w:val="center"/>
              </w:trPr>
              <w:tc>
                <w:tcPr>
                  <w:tcW w:w="1256" w:type="dxa"/>
                  <w:vMerge w:val="continue"/>
                  <w:vAlign w:val="center"/>
                </w:tcPr>
                <w:p w14:paraId="16582E18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14:paraId="4FED0D22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闸块</w:t>
                  </w:r>
                </w:p>
              </w:tc>
              <w:tc>
                <w:tcPr>
                  <w:tcW w:w="3705" w:type="dxa"/>
                  <w:vAlign w:val="center"/>
                </w:tcPr>
                <w:p w14:paraId="541DB6F4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1.行程：≥5</w:t>
                  </w:r>
                  <w:r>
                    <w:rPr>
                      <w:rFonts w:ascii="仿宋" w:hAnsi="仿宋" w:eastAsia="仿宋"/>
                      <w:szCs w:val="21"/>
                    </w:rPr>
                    <w:t>0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mm</w:t>
                  </w:r>
                </w:p>
                <w:p w14:paraId="1300942C">
                  <w:pPr>
                    <w:spacing w:line="240" w:lineRule="auto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ascii="仿宋" w:hAnsi="仿宋" w:eastAsia="仿宋"/>
                      <w:szCs w:val="21"/>
                    </w:rPr>
                    <w:t>2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.材料：</w:t>
                  </w:r>
                  <w:r>
                    <w:rPr>
                      <w:rFonts w:ascii="仿宋" w:hAnsi="仿宋" w:eastAsia="仿宋"/>
                      <w:szCs w:val="21"/>
                    </w:rPr>
                    <w:t>95W3Ni2Fe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（</w:t>
                  </w:r>
                  <w:r>
                    <w:rPr>
                      <w:rFonts w:hint="eastAsia" w:eastAsia="仿宋"/>
                    </w:rPr>
                    <w:t>提供原材料规格书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）</w:t>
                  </w:r>
                </w:p>
                <w:p w14:paraId="1841142F">
                  <w:pPr>
                    <w:spacing w:line="240" w:lineRule="auto"/>
                    <w:rPr>
                      <w:rFonts w:ascii="仿宋" w:hAnsi="仿宋" w:eastAsia="仿宋" w:cs="仿宋"/>
                      <w:bCs/>
                      <w:szCs w:val="21"/>
                    </w:rPr>
                  </w:pPr>
                  <w:r>
                    <w:rPr>
                      <w:rFonts w:ascii="仿宋" w:hAnsi="仿宋" w:eastAsia="仿宋"/>
                      <w:szCs w:val="21"/>
                    </w:rPr>
                    <w:t>3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.水冷</w:t>
                  </w:r>
                </w:p>
              </w:tc>
            </w:tr>
          </w:tbl>
          <w:p w14:paraId="1D6C8254">
            <w:pPr>
              <w:tabs>
                <w:tab w:val="left" w:pos="6915"/>
              </w:tabs>
              <w:spacing w:line="240" w:lineRule="auto"/>
              <w:ind w:firstLine="420" w:firstLineChars="20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验收要求：</w:t>
            </w:r>
          </w:p>
          <w:p w14:paraId="3364DAC1">
            <w:pPr>
              <w:tabs>
                <w:tab w:val="left" w:pos="6915"/>
              </w:tabs>
              <w:spacing w:line="240" w:lineRule="auto"/>
              <w:ind w:firstLine="420" w:firstLineChars="20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Cs/>
              </w:rPr>
              <w:t>乙方辅助验收，并且在验收期间，货物数量、规格型号等与本合同约定不符，或存在质量问题的，乙方应在接到甲方异议之日起3日内更换或维修，并承担因此而发生的相关费用。</w:t>
            </w:r>
          </w:p>
          <w:p w14:paraId="52B349ED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阶段性检查要求：</w:t>
            </w:r>
          </w:p>
          <w:p w14:paraId="39656756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第</w:t>
            </w:r>
            <w:r>
              <w:rPr>
                <w:rFonts w:hint="eastAsia"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-2个月：检查乙方给出的二维加工图纸，确保符合技术参数；</w:t>
            </w:r>
          </w:p>
          <w:p w14:paraId="023A14C1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第</w:t>
            </w:r>
            <w:r>
              <w:rPr>
                <w:rFonts w:hint="eastAsia"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-5个月：核查核心零部件的加工工艺，确认按照合同时间加工零件，按详细设计采购标准产品；</w:t>
            </w:r>
          </w:p>
          <w:p w14:paraId="6D36D77A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spacing w:line="240" w:lineRule="auto"/>
              <w:ind w:firstLineChars="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Cs/>
              </w:rPr>
              <w:t>第</w:t>
            </w:r>
            <w:r>
              <w:rPr>
                <w:rFonts w:hint="eastAsia" w:ascii="Times New Roman" w:hAnsi="Times New Roman" w:cs="Times New Roman"/>
                <w:bCs/>
              </w:rPr>
              <w:t>6</w:t>
            </w:r>
            <w:r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hint="eastAsia" w:ascii="Times New Roman" w:hAnsi="Times New Roman" w:cs="Times New Roman"/>
                <w:bCs/>
              </w:rPr>
              <w:t>7</w:t>
            </w:r>
            <w:r>
              <w:rPr>
                <w:rFonts w:ascii="Times New Roman" w:hAnsi="Times New Roman" w:cs="Times New Roman"/>
                <w:bCs/>
              </w:rPr>
              <w:t>个月：监督系统集成进度，乙方提供出厂验收测试报告，并配合甲方进行现场验收。</w:t>
            </w:r>
          </w:p>
          <w:p w14:paraId="415DCF9C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保修及售后服务：</w:t>
            </w:r>
          </w:p>
          <w:p w14:paraId="1CC7755B">
            <w:pPr>
              <w:tabs>
                <w:tab w:val="left" w:pos="6915"/>
              </w:tabs>
              <w:spacing w:line="240" w:lineRule="auto"/>
              <w:ind w:firstLine="420" w:firstLineChars="20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Cs/>
              </w:rPr>
              <w:t>产品质保期为12个月，时间自验收合格之日起计算。质保期内货物出现质量问题的，乙方应在收到甲方异议通知后的3个工作日内，负责免费更换、维修或补充，并承担由此产生的所有相关费用(包括但不限于运输、人工等)。乙方免费提供必要的技术咨询以确保甲方能安全、有效</w:t>
            </w:r>
            <w:r>
              <w:rPr>
                <w:rFonts w:hint="eastAsia" w:ascii="Times New Roman" w:hAnsi="Times New Roman" w:cs="Times New Roman"/>
                <w:bCs/>
              </w:rPr>
              <w:t>地</w:t>
            </w:r>
            <w:r>
              <w:rPr>
                <w:rFonts w:ascii="Times New Roman" w:hAnsi="Times New Roman" w:cs="Times New Roman"/>
                <w:bCs/>
              </w:rPr>
              <w:t>使用标的设备。</w:t>
            </w:r>
          </w:p>
          <w:p w14:paraId="3A8885CB">
            <w:pPr>
              <w:tabs>
                <w:tab w:val="left" w:pos="6915"/>
              </w:tabs>
              <w:spacing w:line="240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知识产权约定：</w:t>
            </w:r>
          </w:p>
          <w:p w14:paraId="3D5614B4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</w:rPr>
              <w:t>本次采购所涉的技术方案、设计图纸等知识产权均归属甲方所有。乙方基于本项目产生的全部成果，其知识产权亦归甲方所有。乙方须承担严格的保密责任，且不得将前述信息用于本合同之外的任何目的。</w:t>
            </w:r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612EF2"/>
    <w:multiLevelType w:val="multilevel"/>
    <w:tmpl w:val="08612EF2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8117F2"/>
    <w:multiLevelType w:val="multilevel"/>
    <w:tmpl w:val="3E8117F2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F1375BF"/>
    <w:multiLevelType w:val="multilevel"/>
    <w:tmpl w:val="3F1375BF"/>
    <w:lvl w:ilvl="0" w:tentative="0">
      <w:start w:val="1"/>
      <w:numFmt w:val="decimal"/>
      <w:lvlText w:val="%1)"/>
      <w:lvlJc w:val="left"/>
      <w:pPr>
        <w:ind w:left="660" w:hanging="420"/>
      </w:p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785</Words>
  <Characters>947</Characters>
  <Lines>6</Lines>
  <Paragraphs>1</Paragraphs>
  <TotalTime>2</TotalTime>
  <ScaleCrop>false</ScaleCrop>
  <LinksUpToDate>false</LinksUpToDate>
  <CharactersWithSpaces>997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2026-03-02T07:24:26Z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