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7F42D7">
      <w:pPr>
        <w:jc w:val="center"/>
        <w:rPr>
          <w:sz w:val="36"/>
        </w:rPr>
      </w:pPr>
      <w:r>
        <w:rPr>
          <w:sz w:val="36"/>
        </w:rPr>
        <w:t>中国科学技术大学国家同步辐射实验室</w:t>
      </w:r>
    </w:p>
    <w:p w14:paraId="71ADF21F">
      <w:pPr>
        <w:jc w:val="center"/>
        <w:rPr>
          <w:sz w:val="36"/>
        </w:rPr>
      </w:pPr>
      <w:bookmarkStart w:id="0" w:name="_GoBack"/>
      <w:r>
        <w:rPr>
          <w:rFonts w:hint="eastAsia"/>
          <w:sz w:val="36"/>
        </w:rPr>
        <w:t>技术指标供应商确认表</w:t>
      </w:r>
      <w:bookmarkEnd w:id="0"/>
    </w:p>
    <w:p w14:paraId="50584A57"/>
    <w:tbl>
      <w:tblPr>
        <w:tblStyle w:val="3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561"/>
        <w:gridCol w:w="5322"/>
        <w:gridCol w:w="1201"/>
        <w:gridCol w:w="992"/>
      </w:tblGrid>
      <w:tr w14:paraId="20C66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705" w:type="dxa"/>
            <w:vAlign w:val="center"/>
          </w:tcPr>
          <w:p w14:paraId="3E29496F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561" w:type="dxa"/>
            <w:vAlign w:val="center"/>
          </w:tcPr>
          <w:p w14:paraId="467D4662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5322" w:type="dxa"/>
            <w:vAlign w:val="center"/>
          </w:tcPr>
          <w:p w14:paraId="0B99A1E1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技术指标</w:t>
            </w:r>
          </w:p>
        </w:tc>
        <w:tc>
          <w:tcPr>
            <w:tcW w:w="1201" w:type="dxa"/>
            <w:vAlign w:val="center"/>
          </w:tcPr>
          <w:p w14:paraId="78A9372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偏离说明</w:t>
            </w:r>
          </w:p>
          <w:p w14:paraId="529022B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无偏离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正偏离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负偏离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744AE6C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偏离值</w:t>
            </w:r>
          </w:p>
        </w:tc>
      </w:tr>
      <w:tr w14:paraId="6C24D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4" w:hRule="atLeast"/>
        </w:trPr>
        <w:tc>
          <w:tcPr>
            <w:tcW w:w="705" w:type="dxa"/>
            <w:vAlign w:val="center"/>
          </w:tcPr>
          <w:p w14:paraId="6B5478EA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7432B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分子泵机组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br w:type="textWrapping"/>
            </w:r>
          </w:p>
        </w:tc>
        <w:tc>
          <w:tcPr>
            <w:tcW w:w="5322" w:type="dxa"/>
            <w:vAlign w:val="center"/>
          </w:tcPr>
          <w:p w14:paraId="2B60045E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数量：8台</w:t>
            </w:r>
          </w:p>
          <w:p w14:paraId="6B9005EB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分子泵对氮气抽速不低于290L/s，极限真空</w:t>
            </w:r>
            <w:r>
              <w:rPr>
                <w:rFonts w:hint="eastAsia" w:ascii="等线" w:hAnsi="等线" w:eastAsia="等线" w:cs="等线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1E-6Pa，对氢压缩比</w:t>
            </w:r>
            <w:r>
              <w:rPr>
                <w:rFonts w:hint="eastAsia" w:ascii="等线" w:hAnsi="等线" w:eastAsia="等线" w:cs="等线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1E3，对氮压缩比</w:t>
            </w:r>
            <w:r>
              <w:rPr>
                <w:rFonts w:hint="eastAsia" w:ascii="等线" w:hAnsi="等线" w:eastAsia="等线" w:cs="等线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1E8，无油轴承；</w:t>
            </w:r>
          </w:p>
          <w:p w14:paraId="6CE5404F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前级为干泵，抽速不低于10m3/h,极限真空优于3Pa，自带气镇。</w:t>
            </w:r>
          </w:p>
          <w:p w14:paraId="413E07A2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机组极限真空</w:t>
            </w:r>
            <w:r>
              <w:rPr>
                <w:rFonts w:hint="eastAsia" w:ascii="等线" w:hAnsi="等线" w:eastAsia="等线" w:cs="等线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1E-5Pa，包含必要的真空连接件和控制及真空显示系统，预留DN40CF抽气接口，前级泵与分子泵间需加装隔离电磁阀，</w:t>
            </w:r>
          </w:p>
          <w:p w14:paraId="04F81271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手推车结构，轮带止锁机构。</w:t>
            </w:r>
          </w:p>
        </w:tc>
        <w:tc>
          <w:tcPr>
            <w:tcW w:w="1201" w:type="dxa"/>
            <w:vAlign w:val="center"/>
          </w:tcPr>
          <w:p w14:paraId="3494B2B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AB5E24F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14:paraId="41B7F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1" w:hRule="atLeast"/>
        </w:trPr>
        <w:tc>
          <w:tcPr>
            <w:tcW w:w="705" w:type="dxa"/>
            <w:vAlign w:val="center"/>
          </w:tcPr>
          <w:p w14:paraId="1FB5921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7ED25">
            <w:pPr>
              <w:widowControl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商务条款</w:t>
            </w:r>
          </w:p>
        </w:tc>
        <w:tc>
          <w:tcPr>
            <w:tcW w:w="53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26E3E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hint="eastAsia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 w:val="0"/>
                <w:sz w:val="24"/>
                <w:szCs w:val="24"/>
              </w:rPr>
              <w:t>交货期</w:t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：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合同签订后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2个月内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。</w:t>
            </w:r>
          </w:p>
          <w:p w14:paraId="379C6791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hint="eastAsia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 w:val="0"/>
                <w:sz w:val="24"/>
                <w:szCs w:val="24"/>
              </w:rPr>
              <w:t>交付进度</w:t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：</w:t>
            </w:r>
            <w:r>
              <w:rPr>
                <w:rFonts w:ascii="宋体" w:hAnsi="宋体"/>
                <w:b w:val="0"/>
                <w:bCs/>
                <w:sz w:val="24"/>
                <w:szCs w:val="24"/>
              </w:rPr>
              <w:t>一次性交付。</w:t>
            </w:r>
          </w:p>
          <w:p w14:paraId="07B03B41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hint="eastAsia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 w:val="0"/>
                <w:sz w:val="24"/>
                <w:szCs w:val="24"/>
              </w:rPr>
              <w:t>付款方式</w:t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：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签订合同后首付70%，货到验收合格后30日内付清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尾款。</w:t>
            </w:r>
          </w:p>
          <w:p w14:paraId="4E125355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hint="eastAsia" w:ascii="宋体" w:hAnsi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验收指标及验收要求：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检查设备型号，实际测试泵的抽速等指标。</w:t>
            </w:r>
          </w:p>
          <w:p w14:paraId="6EF6DCF3">
            <w:pPr>
              <w:tabs>
                <w:tab w:val="left" w:pos="6915"/>
              </w:tabs>
              <w:jc w:val="both"/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保修</w:t>
            </w:r>
            <w:r>
              <w:rPr>
                <w:rFonts w:ascii="宋体" w:hAnsi="宋体"/>
                <w:b/>
                <w:bCs w:val="0"/>
                <w:sz w:val="24"/>
                <w:szCs w:val="24"/>
              </w:rPr>
              <w:t>及售后服务</w:t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：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验收合格之日起提供为期1年免费质保与技术支持。</w:t>
            </w:r>
          </w:p>
        </w:tc>
        <w:tc>
          <w:tcPr>
            <w:tcW w:w="1201" w:type="dxa"/>
            <w:vAlign w:val="center"/>
          </w:tcPr>
          <w:p w14:paraId="5D3E4FB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43744E8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2E1FF8A4">
      <w:pPr>
        <w:wordWrap w:val="0"/>
        <w:ind w:right="840"/>
        <w:jc w:val="righ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br w:type="textWrapping"/>
      </w:r>
    </w:p>
    <w:p w14:paraId="00BC0982">
      <w:pPr>
        <w:wordWrap w:val="0"/>
        <w:ind w:right="840"/>
        <w:jc w:val="right"/>
        <w:rPr>
          <w:rFonts w:hint="default" w:eastAsiaTheme="minorEastAsia"/>
          <w:lang w:val="en-US" w:eastAsia="zh-CN"/>
        </w:rPr>
      </w:pPr>
      <w:r>
        <w:rPr>
          <w:sz w:val="24"/>
          <w:szCs w:val="24"/>
        </w:rPr>
        <w:t>公司名称</w:t>
      </w:r>
      <w:r>
        <w:rPr>
          <w:rFonts w:hint="eastAsia"/>
          <w:sz w:val="24"/>
          <w:szCs w:val="24"/>
        </w:rPr>
        <w:t>（盖章）：</w:t>
      </w:r>
      <w:r>
        <w:rPr>
          <w:rFonts w:hint="eastAsia"/>
          <w:sz w:val="24"/>
          <w:szCs w:val="24"/>
        </w:rPr>
        <w:br w:type="textWrapping"/>
      </w:r>
      <w:r>
        <w:rPr>
          <w:sz w:val="24"/>
          <w:szCs w:val="24"/>
        </w:rPr>
        <w:t>日期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EF6C24"/>
    <w:rsid w:val="03906C14"/>
    <w:rsid w:val="04EF6C24"/>
    <w:rsid w:val="230C3504"/>
    <w:rsid w:val="38C84348"/>
    <w:rsid w:val="40620CE9"/>
    <w:rsid w:val="4D403FED"/>
    <w:rsid w:val="56137BF2"/>
    <w:rsid w:val="582022AB"/>
    <w:rsid w:val="5DFF120B"/>
    <w:rsid w:val="60854C98"/>
    <w:rsid w:val="7EF2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755</Words>
  <Characters>860</Characters>
  <Lines>0</Lines>
  <Paragraphs>0</Paragraphs>
  <TotalTime>0</TotalTime>
  <ScaleCrop>false</ScaleCrop>
  <LinksUpToDate>false</LinksUpToDate>
  <CharactersWithSpaces>866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2026-07-17T08:11:00Z</dcterms:created>
  <dc:creator>DELL</dc:creator>
  <cp:lastModifiedBy>王小宇</cp:lastModifiedBy>
  <dcterms:modified xsi:type="dcterms:W3CDTF">2026-09-03T08:43:38Z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32480E621991483780CC3A3CD0180A90_13</vt:lpwstr>
  </property>
  <property fmtid="{D5CDD505-2E9C-101B-9397-08002B2CF9AE}" pid="4" name="KSOTemplateDocerSaveRecord">
    <vt:lpwstr>eyJoZGlkIjoiN2RmNGQ2MDc0ZGFiNmIyNjNmMmJiNzcxMzg1OWQzY2YiLCJ1c2VySWQiOiIxNzkyMjQ5NTEzIn0=</vt:lpwstr>
  </property>
</Properties>
</file>