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C9955E">
      <w:pPr>
        <w:jc w:val="center"/>
        <w:rPr>
          <w:sz w:val="36"/>
        </w:rPr>
      </w:pPr>
      <w:r>
        <w:rPr>
          <w:sz w:val="36"/>
        </w:rPr>
        <w:t>中国科学技术大学国家同步辐射实验室</w:t>
      </w:r>
    </w:p>
    <w:p w14:paraId="0973E65B">
      <w:pPr>
        <w:jc w:val="center"/>
        <w:rPr>
          <w:sz w:val="36"/>
        </w:rPr>
      </w:pPr>
      <w:r>
        <w:rPr>
          <w:rFonts w:hint="eastAsia"/>
          <w:sz w:val="36"/>
        </w:rPr>
        <w:t>技术指标供应商确认表</w:t>
      </w:r>
    </w:p>
    <w:p w14:paraId="3E58F52B"/>
    <w:tbl>
      <w:tblPr>
        <w:tblStyle w:val="3"/>
        <w:tblW w:w="9781" w:type="dxa"/>
        <w:tblInd w:w="-5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561"/>
        <w:gridCol w:w="5322"/>
        <w:gridCol w:w="1201"/>
        <w:gridCol w:w="992"/>
      </w:tblGrid>
      <w:tr w14:paraId="3979F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705" w:type="dxa"/>
            <w:vAlign w:val="center"/>
          </w:tcPr>
          <w:p w14:paraId="75C250BA">
            <w:pPr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1561" w:type="dxa"/>
            <w:vAlign w:val="center"/>
          </w:tcPr>
          <w:p w14:paraId="3A9FF52B">
            <w:pPr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名称</w:t>
            </w:r>
          </w:p>
        </w:tc>
        <w:tc>
          <w:tcPr>
            <w:tcW w:w="5322" w:type="dxa"/>
            <w:vAlign w:val="center"/>
          </w:tcPr>
          <w:p w14:paraId="258D475E">
            <w:pPr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技术指标</w:t>
            </w:r>
          </w:p>
        </w:tc>
        <w:tc>
          <w:tcPr>
            <w:tcW w:w="1201" w:type="dxa"/>
            <w:vAlign w:val="center"/>
          </w:tcPr>
          <w:p w14:paraId="37F7A556">
            <w:pPr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偏离说明</w:t>
            </w:r>
          </w:p>
          <w:p w14:paraId="328E92F5">
            <w:pPr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无偏离</w:t>
            </w:r>
            <w:r>
              <w:rPr>
                <w:rFonts w:hint="eastAsia"/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正偏离</w:t>
            </w:r>
            <w:r>
              <w:rPr>
                <w:rFonts w:hint="eastAsia"/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负偏离</w:t>
            </w:r>
            <w:r>
              <w:rPr>
                <w:rFonts w:hint="eastAsia"/>
                <w:sz w:val="24"/>
                <w:szCs w:val="24"/>
              </w:rPr>
              <w:t>)</w:t>
            </w:r>
          </w:p>
        </w:tc>
        <w:tc>
          <w:tcPr>
            <w:tcW w:w="992" w:type="dxa"/>
            <w:vAlign w:val="center"/>
          </w:tcPr>
          <w:p w14:paraId="22A89C1E">
            <w:pPr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偏离值</w:t>
            </w:r>
          </w:p>
        </w:tc>
      </w:tr>
      <w:tr w14:paraId="39438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705" w:type="dxa"/>
            <w:vAlign w:val="center"/>
          </w:tcPr>
          <w:p w14:paraId="185CA09D">
            <w:pPr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D2AB7">
            <w:pPr>
              <w:widowControl/>
              <w:spacing w:line="240" w:lineRule="atLeast"/>
              <w:jc w:val="center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default" w:eastAsiaTheme="minorEastAsia"/>
                <w:sz w:val="24"/>
                <w:szCs w:val="24"/>
                <w:lang w:val="en-US" w:eastAsia="zh-CN"/>
              </w:rPr>
              <w:t>飞秒激光器</w:t>
            </w:r>
          </w:p>
        </w:tc>
        <w:tc>
          <w:tcPr>
            <w:tcW w:w="5322" w:type="dxa"/>
            <w:vAlign w:val="center"/>
          </w:tcPr>
          <w:p w14:paraId="39D19819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中心波长：343±3nm</w:t>
            </w:r>
          </w:p>
          <w:p w14:paraId="4E0F88F4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平均功率：≥2W@200kHz</w:t>
            </w:r>
          </w:p>
          <w:p w14:paraId="5AA4766A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功率稳定性：≤</w:t>
            </w:r>
            <w:r>
              <w:rPr>
                <w:sz w:val="24"/>
                <w:szCs w:val="24"/>
              </w:rPr>
              <w:t>0.5</w:t>
            </w:r>
            <w:r>
              <w:rPr>
                <w:rFonts w:hint="eastAsia"/>
                <w:sz w:val="24"/>
                <w:szCs w:val="24"/>
              </w:rPr>
              <w:t>% RMS</w:t>
            </w:r>
            <w:r>
              <w:rPr>
                <w:sz w:val="24"/>
                <w:szCs w:val="24"/>
              </w:rPr>
              <w:t xml:space="preserve"> (over12h@25℃)</w:t>
            </w:r>
          </w:p>
          <w:p w14:paraId="19468580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光束质量（M</w:t>
            </w:r>
            <w:r>
              <w:rPr>
                <w:sz w:val="24"/>
                <w:szCs w:val="24"/>
                <w:vertAlign w:val="superscript"/>
              </w:rPr>
              <w:t>2</w:t>
            </w:r>
            <w:r>
              <w:rPr>
                <w:sz w:val="24"/>
                <w:szCs w:val="24"/>
              </w:rPr>
              <w:t>）：</w:t>
            </w:r>
            <w:r>
              <w:rPr>
                <w:rFonts w:hint="eastAsia"/>
                <w:sz w:val="24"/>
                <w:szCs w:val="24"/>
              </w:rPr>
              <w:t>≤1</w:t>
            </w:r>
            <w:r>
              <w:rPr>
                <w:sz w:val="24"/>
                <w:szCs w:val="24"/>
              </w:rPr>
              <w:t>.2</w:t>
            </w:r>
          </w:p>
          <w:p w14:paraId="60AEDB1D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能量稳定性：≤1% (pulse to pulse, 10min)</w:t>
            </w:r>
          </w:p>
          <w:p w14:paraId="1E3BBBE3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重复频率：单脉冲-200kHz可调（200kHz整除）</w:t>
            </w:r>
          </w:p>
          <w:p w14:paraId="360F2C37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单脉冲能量：≥10uJ@200kHz</w:t>
            </w:r>
          </w:p>
          <w:p w14:paraId="5481F904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脉冲宽度：≤700fs</w:t>
            </w:r>
          </w:p>
          <w:p w14:paraId="7E80ED47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光斑圆度：≥90%</w:t>
            </w:r>
          </w:p>
          <w:p w14:paraId="3790DAE2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光斑尺寸：2±1mm</w:t>
            </w:r>
          </w:p>
          <w:p w14:paraId="7B5C0650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发散角：≤1mrad</w:t>
            </w:r>
          </w:p>
          <w:p w14:paraId="38DB577B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激光器采用分体式设计，激光头和电控箱分开，激光头尺寸：不大于</w:t>
            </w:r>
            <w:r>
              <w:rPr>
                <w:sz w:val="24"/>
                <w:szCs w:val="24"/>
              </w:rPr>
              <w:t>90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*</w:t>
            </w:r>
            <w:r>
              <w:rPr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</w:rPr>
              <w:t>8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*</w:t>
            </w:r>
            <w:r>
              <w:rPr>
                <w:sz w:val="24"/>
                <w:szCs w:val="24"/>
              </w:rPr>
              <w:t>14</w:t>
            </w:r>
            <w:r>
              <w:rPr>
                <w:rFonts w:hint="eastAsia"/>
                <w:sz w:val="24"/>
                <w:szCs w:val="24"/>
              </w:rPr>
              <w:t>cm，电控箱尺寸：不大于</w:t>
            </w:r>
            <w:r>
              <w:rPr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*</w:t>
            </w:r>
            <w:r>
              <w:rPr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9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*</w:t>
            </w:r>
            <w:r>
              <w:rPr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4cm</w:t>
            </w:r>
          </w:p>
          <w:p w14:paraId="144C6FDA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出光口高度：95-100mm</w:t>
            </w:r>
          </w:p>
          <w:p w14:paraId="35214736">
            <w:pPr>
              <w:pStyle w:val="5"/>
              <w:numPr>
                <w:ilvl w:val="0"/>
                <w:numId w:val="1"/>
              </w:numPr>
              <w:ind w:firstLineChars="0"/>
              <w:contextualSpacing/>
              <w:rPr>
                <w:rFonts w:hint="eastAsia"/>
                <w:bCs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冷却方式：水冷</w:t>
            </w:r>
          </w:p>
        </w:tc>
        <w:tc>
          <w:tcPr>
            <w:tcW w:w="1201" w:type="dxa"/>
            <w:vAlign w:val="center"/>
          </w:tcPr>
          <w:p w14:paraId="205FF5AB">
            <w:pPr>
              <w:spacing w:line="240" w:lineRule="atLeast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60665B">
            <w:pPr>
              <w:spacing w:line="240" w:lineRule="atLeast"/>
              <w:jc w:val="center"/>
              <w:rPr>
                <w:sz w:val="24"/>
                <w:szCs w:val="24"/>
              </w:rPr>
            </w:pPr>
          </w:p>
        </w:tc>
      </w:tr>
      <w:tr w14:paraId="497EA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7" w:hRule="atLeast"/>
        </w:trPr>
        <w:tc>
          <w:tcPr>
            <w:tcW w:w="705" w:type="dxa"/>
            <w:vAlign w:val="center"/>
          </w:tcPr>
          <w:p w14:paraId="21D5CC9B">
            <w:pPr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7188C">
            <w:pPr>
              <w:widowControl/>
              <w:spacing w:line="24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商务条款</w:t>
            </w:r>
          </w:p>
        </w:tc>
        <w:tc>
          <w:tcPr>
            <w:tcW w:w="53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D6DA95">
            <w:pPr>
              <w:keepNext w:val="0"/>
              <w:keepLines w:val="0"/>
              <w:pageBreakBefore w:val="0"/>
              <w:widowControl w:val="0"/>
              <w:tabs>
                <w:tab w:val="left" w:pos="6915"/>
              </w:tabs>
              <w:kinsoku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line="264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交货期：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合同签订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后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个月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内</w:t>
            </w:r>
          </w:p>
          <w:p w14:paraId="74203384">
            <w:pPr>
              <w:keepNext w:val="0"/>
              <w:keepLines w:val="0"/>
              <w:pageBreakBefore w:val="0"/>
              <w:widowControl w:val="0"/>
              <w:tabs>
                <w:tab w:val="left" w:pos="6915"/>
              </w:tabs>
              <w:kinsoku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line="264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交付进度：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一次性交付</w:t>
            </w:r>
          </w:p>
          <w:p w14:paraId="3ADC3A9D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line="264" w:lineRule="auto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付款方式：</w:t>
            </w:r>
            <w:r>
              <w:rPr>
                <w:sz w:val="24"/>
                <w:szCs w:val="24"/>
              </w:rPr>
              <w:t>合同签订后支付合同总价的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4</w:t>
            </w:r>
            <w:r>
              <w:rPr>
                <w:sz w:val="24"/>
                <w:szCs w:val="24"/>
              </w:rPr>
              <w:t>0%；货到验收合格后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支付尾款</w:t>
            </w:r>
            <w:r>
              <w:rPr>
                <w:sz w:val="24"/>
                <w:szCs w:val="24"/>
              </w:rPr>
              <w:t>。</w:t>
            </w:r>
          </w:p>
          <w:p w14:paraId="29E26C97">
            <w:pPr>
              <w:tabs>
                <w:tab w:val="left" w:pos="6915"/>
              </w:tabs>
              <w:jc w:val="left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验收指标及验收要求：</w:t>
            </w:r>
          </w:p>
          <w:p w14:paraId="1901AA6E">
            <w:pPr>
              <w:tabs>
                <w:tab w:val="left" w:pos="6915"/>
              </w:tabs>
              <w:jc w:val="left"/>
              <w:rPr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1、厂家提供参数测试报告；2、厂家提供操作手册；</w:t>
            </w:r>
          </w:p>
          <w:p w14:paraId="52609000">
            <w:pPr>
              <w:keepNext w:val="0"/>
              <w:keepLines w:val="0"/>
              <w:pageBreakBefore w:val="0"/>
              <w:tabs>
                <w:tab w:val="left" w:pos="6915"/>
              </w:tabs>
              <w:kinsoku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line="264" w:lineRule="auto"/>
              <w:jc w:val="left"/>
              <w:textAlignment w:val="auto"/>
              <w:rPr>
                <w:rFonts w:hint="eastAsia" w:ascii="宋体" w:hAnsi="宋体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保修及售后服务：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12个月质保期</w:t>
            </w:r>
          </w:p>
          <w:p w14:paraId="24F8A29A">
            <w:pPr>
              <w:keepNext w:val="0"/>
              <w:keepLines w:val="0"/>
              <w:pageBreakBefore w:val="0"/>
              <w:tabs>
                <w:tab w:val="left" w:pos="6915"/>
              </w:tabs>
              <w:kinsoku/>
              <w:wordWrap/>
              <w:topLinePunct w:val="0"/>
              <w:autoSpaceDE/>
              <w:autoSpaceDN/>
              <w:bidi w:val="0"/>
              <w:adjustRightInd w:val="0"/>
              <w:snapToGrid w:val="0"/>
              <w:spacing w:line="264" w:lineRule="auto"/>
              <w:jc w:val="left"/>
              <w:textAlignment w:val="auto"/>
              <w:rPr>
                <w:rFonts w:hint="eastAsia"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其他：</w:t>
            </w:r>
          </w:p>
          <w:p w14:paraId="1AE42F95">
            <w:pPr>
              <w:pStyle w:val="5"/>
              <w:numPr>
                <w:ilvl w:val="0"/>
                <w:numId w:val="0"/>
              </w:numPr>
              <w:tabs>
                <w:tab w:val="left" w:pos="6915"/>
              </w:tabs>
              <w:ind w:leftChars="0"/>
              <w:jc w:val="left"/>
              <w:rPr>
                <w:rFonts w:hint="eastAsia" w:ascii="宋体" w:hAnsi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szCs w:val="24"/>
                <w:lang w:val="en-US" w:eastAsia="zh-CN"/>
              </w:rPr>
              <w:t>1、供应商报价时，需写明产品的制造商（品牌），提供型号和详细技术参数；</w:t>
            </w:r>
          </w:p>
          <w:p w14:paraId="42F7412A">
            <w:pPr>
              <w:pStyle w:val="5"/>
              <w:numPr>
                <w:ilvl w:val="0"/>
                <w:numId w:val="0"/>
              </w:numPr>
              <w:tabs>
                <w:tab w:val="left" w:pos="6915"/>
              </w:tabs>
              <w:ind w:leftChars="0"/>
              <w:jc w:val="left"/>
              <w:rPr>
                <w:rFonts w:hint="eastAsia" w:ascii="宋体" w:hAnsi="宋体" w:cs="宋体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szCs w:val="24"/>
                <w:lang w:val="en-US" w:eastAsia="zh-CN"/>
              </w:rPr>
              <w:t>2、</w:t>
            </w:r>
            <w:bookmarkStart w:id="0" w:name="_GoBack"/>
            <w:bookmarkEnd w:id="0"/>
            <w:r>
              <w:rPr>
                <w:rFonts w:hint="eastAsia" w:ascii="宋体" w:hAnsi="宋体" w:cs="宋体"/>
                <w:bCs/>
                <w:sz w:val="24"/>
                <w:szCs w:val="24"/>
                <w:lang w:val="en-US" w:eastAsia="zh-CN"/>
              </w:rPr>
              <w:t>供应商在询价结束后一周内、合同签订前，需提供报价同款样机进行验证测试。</w:t>
            </w:r>
          </w:p>
          <w:p w14:paraId="148EADBA">
            <w:pPr>
              <w:pStyle w:val="5"/>
              <w:numPr>
                <w:ilvl w:val="0"/>
                <w:numId w:val="0"/>
              </w:numPr>
              <w:tabs>
                <w:tab w:val="left" w:pos="6915"/>
              </w:tabs>
              <w:ind w:leftChars="0"/>
              <w:jc w:val="left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 w14:paraId="324B1D27">
            <w:pPr>
              <w:spacing w:line="240" w:lineRule="atLeast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6AA2CA0">
            <w:pPr>
              <w:spacing w:line="240" w:lineRule="atLeast"/>
              <w:jc w:val="center"/>
              <w:rPr>
                <w:sz w:val="24"/>
                <w:szCs w:val="24"/>
              </w:rPr>
            </w:pPr>
          </w:p>
        </w:tc>
      </w:tr>
    </w:tbl>
    <w:p w14:paraId="25AB3EFD">
      <w:pPr>
        <w:ind w:right="840"/>
        <w:jc w:val="right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  </w:t>
      </w:r>
    </w:p>
    <w:p w14:paraId="6B36AD4F">
      <w:pPr>
        <w:ind w:right="840"/>
        <w:jc w:val="right"/>
        <w:rPr>
          <w:sz w:val="24"/>
          <w:szCs w:val="24"/>
        </w:rPr>
      </w:pPr>
      <w:r>
        <w:rPr>
          <w:sz w:val="24"/>
          <w:szCs w:val="24"/>
        </w:rPr>
        <w:t>公司名称</w:t>
      </w:r>
      <w:r>
        <w:rPr>
          <w:rFonts w:hint="eastAsia"/>
          <w:sz w:val="24"/>
          <w:szCs w:val="24"/>
        </w:rPr>
        <w:t>（盖章）：</w:t>
      </w:r>
    </w:p>
    <w:p w14:paraId="6DF8710F">
      <w:pPr>
        <w:ind w:right="840"/>
        <w:jc w:val="right"/>
      </w:pPr>
      <w:r>
        <w:rPr>
          <w:sz w:val="24"/>
          <w:szCs w:val="24"/>
        </w:rPr>
        <w:t>日期</w:t>
      </w:r>
      <w:r>
        <w:rPr>
          <w:rFonts w:hint="eastAsia"/>
          <w:sz w:val="24"/>
          <w:szCs w:val="24"/>
        </w:rPr>
        <w:t>：</w:t>
      </w:r>
    </w:p>
    <w:p w14:paraId="3656B948"/>
    <w:p w14:paraId="66837EA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BA20488"/>
    <w:multiLevelType w:val="multilevel"/>
    <w:tmpl w:val="6BA20488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203513"/>
    <w:rsid w:val="104A5415"/>
    <w:rsid w:val="35C26447"/>
    <w:rsid w:val="68203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377</Words>
  <Characters>446</Characters>
  <Lines>0</Lines>
  <Paragraphs>0</Paragraphs>
  <TotalTime>0</TotalTime>
  <ScaleCrop>false</ScaleCrop>
  <LinksUpToDate>false</LinksUpToDate>
  <CharactersWithSpaces>449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2026-06-24T03:13:00Z</dcterms:created>
  <dc:creator>DELL</dc:creator>
  <cp:lastModifiedBy>DELL</cp:lastModifiedBy>
  <dcterms:modified xsi:type="dcterms:W3CDTF">2026-07-20T07:51:29Z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FA3F50E1EF1F470EBB1A00A11EAF626D_13</vt:lpwstr>
  </property>
  <property fmtid="{D5CDD505-2E9C-101B-9397-08002B2CF9AE}" pid="4" name="KSOTemplateDocerSaveRecord">
    <vt:lpwstr>eyJoZGlkIjoiN2RmNGQ2MDc0ZGFiNmIyNjNmMmJiNzcxMzg1OWQzY2YifQ==</vt:lpwstr>
  </property>
</Properties>
</file>