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6"/>
        <w:tblW w:w="10120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6"/>
        <w:gridCol w:w="1249"/>
        <w:gridCol w:w="5991"/>
        <w:gridCol w:w="1403"/>
        <w:gridCol w:w="1041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</w:trPr>
        <w:tc>
          <w:tcPr>
            <w:tcW w:w="436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249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991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03" w:type="dxa"/>
            <w:vAlign w:val="center"/>
          </w:tcPr>
          <w:p w14:paraId="37F7A556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1041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436" w:type="dxa"/>
            <w:vAlign w:val="center"/>
          </w:tcPr>
          <w:p w14:paraId="185CA09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49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7E88FD24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>HALF视频分析系统</w:t>
            </w:r>
          </w:p>
        </w:tc>
        <w:tc>
          <w:tcPr>
            <w:tcW w:w="5991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407E5A86">
            <w:pPr>
              <w:pStyle w:val="11"/>
              <w:widowControl/>
              <w:spacing w:line="240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系统接入合肥先进光源园区主体建筑内的摄像头，实现每路摄像头的内外参标定测量与计算、视频流的接入、人员检测与定位、异常状态识别、检测数据可视化，并提供数据与用户管理，适配多终端访问。具体要求如下： </w:t>
            </w:r>
          </w:p>
          <w:p w14:paraId="4481FF12">
            <w:pPr>
              <w:pStyle w:val="11"/>
              <w:widowControl/>
              <w:numPr>
                <w:ilvl w:val="0"/>
                <w:numId w:val="1"/>
              </w:numPr>
              <w:spacing w:line="240" w:lineRule="auto"/>
              <w:ind w:left="568" w:hanging="284" w:firstLineChars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标定与统一接入：（1）接入容量与弹性：系统设计需支持接入不少于660路高清数字视频流（此数量为预估，最终以现场勘测确认的点位数为准），并具备平滑扩展至更高路数的架构能力。（2）标定计算：在现场为每台待接入的摄像头布设高反差特征标定点，需确保覆盖足够的景深与视角，并采集摄像头在不同姿态下的多视角图像序列，解算每台摄像头的内部参数和外部参数。</w:t>
            </w:r>
          </w:p>
          <w:p w14:paraId="4A232483">
            <w:pPr>
              <w:pStyle w:val="11"/>
              <w:widowControl/>
              <w:numPr>
                <w:ilvl w:val="0"/>
                <w:numId w:val="1"/>
              </w:numPr>
              <w:spacing w:line="240" w:lineRule="auto"/>
              <w:ind w:left="568" w:hanging="284" w:firstLineChars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人员多目标检测定位：（1）目标检测：对视频流进行实时分析，输出每帧中所有人员目标的像素级边界框、类别置信度。（2）坐标转换与地图定位：对园区主体建筑进行精细化3D建模，并将转换后的坐标实时映射至建筑模型中，满足人员定位高精度可视化需求。（3）行为分析：支持在电子地图上灵活配置虚拟电子围栏和逻辑分析区域；对区域内人员进行停留时间计算，支持生成超时滞留告警事件，并关联保存现场截图与前后时段视频片段；实现各预设区域内人员的实时计数统计。 </w:t>
            </w:r>
          </w:p>
          <w:p w14:paraId="7443D32E">
            <w:pPr>
              <w:pStyle w:val="11"/>
              <w:widowControl/>
              <w:numPr>
                <w:ilvl w:val="0"/>
                <w:numId w:val="1"/>
              </w:numPr>
              <w:spacing w:line="240" w:lineRule="auto"/>
              <w:ind w:left="568" w:hanging="284" w:firstLineChars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特定场景异常状态识别：（1）泄漏检测：针对指定区域，通过分析图像序列中的纹理异常变化、颜色空间特征等，定位泄漏疑似区域。（2）烟雾检测：基于烟雾的纹理和扩散等特性，监测指定区域内出现的烟雾。（3）告警生成：识别异常事件后，系统自动生成结构化告警信息，并保存现场证据图片及时间等信息。</w:t>
            </w:r>
          </w:p>
          <w:p w14:paraId="413CA0AA">
            <w:pPr>
              <w:pStyle w:val="11"/>
              <w:widowControl/>
              <w:numPr>
                <w:ilvl w:val="0"/>
                <w:numId w:val="1"/>
              </w:numPr>
              <w:spacing w:line="240" w:lineRule="auto"/>
              <w:ind w:left="568" w:hanging="284" w:firstLineChars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数据融合与交互式可视化：（1）地图渲染：构建数字孪生可视化，在电子地图中直观展示人员分布；支持动态目标（人员、告警点等）的实时渲染。支持动态图标聚类，当目标位置重叠时自动聚合显示并标注数量，缩放地图时动态解聚。（2）视频-地图联动：在建筑模型中准确标注所有接入摄像头的空间位置与朝向图标。支持点击电子地图中的摄像头图标一键调取实时视频，视频窗口内支持流畅的平移、缩放操作。（3）数据分析与展示：支持按物理建筑结构或自定义逻辑进行多级区域划分，实时统计与可视化各分区人员数量、密度分布。支持按时间、区域、事件类型等多维度对数据进行分析，分析结果支持生成标准格式报表并一键导出。</w:t>
            </w:r>
          </w:p>
          <w:p w14:paraId="4DEC62E3">
            <w:pPr>
              <w:pStyle w:val="11"/>
              <w:widowControl/>
              <w:numPr>
                <w:ilvl w:val="0"/>
                <w:numId w:val="1"/>
              </w:numPr>
              <w:spacing w:line="240" w:lineRule="auto"/>
              <w:ind w:left="568" w:hanging="284" w:firstLineChars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结构化数据仓库、服务接口与安全管理：（1）数据仓库：持久化存储所有目标检测事件、系统告警、设备状态及操作日志，并需支持对时间范围、事件属性、目标类型等多条件的高效复合查询与检索。（2）系统集成：提供数据接口，确保所有分析结果和告警信息符合EPICS规范，可集成至现有平台。（3）身份认证与权限管理：支持现有统一身份认证系统集成，实现单点登录，提供用户、角色、权限管理。（4）多端适配：采用前后端完全分离的微服务架构，前端应用需实现全响应式布局设计，确保在桌面浏览器、智能手机具备一致的交互体验。</w:t>
            </w:r>
          </w:p>
          <w:p w14:paraId="64702467">
            <w:pPr>
              <w:pStyle w:val="11"/>
              <w:widowControl/>
              <w:numPr>
                <w:ilvl w:val="0"/>
                <w:numId w:val="1"/>
              </w:numPr>
              <w:tabs>
                <w:tab w:val="left" w:pos="6915"/>
                <w:tab w:val="clear" w:pos="1428"/>
              </w:tabs>
              <w:spacing w:line="240" w:lineRule="auto"/>
              <w:ind w:left="568" w:hanging="284" w:firstLineChars="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系统性能指标：（1）处理实时性：从抽取的视频流帧中检测人员目标的处理延迟≤1秒。（2）识别准确性：室内照明良好、目标无严重遮挡的基准场景下，系统对人员检测与计数统计准确率≥90%。（3）地图渲染性能：采用高性能3D渲染引擎，园区电子地图加载至可交互状态时间≤10秒，用户点击操作的响应时间平均值≤300毫秒。（</w:t>
            </w:r>
            <w:r>
              <w:rPr>
                <w:rFonts w:ascii="宋体" w:hAnsi="宋体"/>
                <w:szCs w:val="21"/>
              </w:rPr>
              <w:t>4</w:t>
            </w:r>
            <w:r>
              <w:rPr>
                <w:rFonts w:hint="eastAsia" w:ascii="宋体" w:hAnsi="宋体"/>
                <w:szCs w:val="21"/>
              </w:rPr>
              <w:t>）数据检索性能：对过去24小时内存储的事件数据，进行多条件组合查询的响应时间≤</w:t>
            </w:r>
            <w:r>
              <w:rPr>
                <w:rFonts w:ascii="宋体" w:hAnsi="宋体"/>
                <w:szCs w:val="21"/>
              </w:rPr>
              <w:t>3</w:t>
            </w:r>
            <w:r>
              <w:rPr>
                <w:rFonts w:hint="eastAsia" w:ascii="宋体" w:hAnsi="宋体"/>
                <w:szCs w:val="21"/>
              </w:rPr>
              <w:t>秒。</w:t>
            </w:r>
          </w:p>
          <w:p w14:paraId="2569B417">
            <w:pPr>
              <w:pStyle w:val="11"/>
              <w:tabs>
                <w:tab w:val="left" w:pos="6915"/>
                <w:tab w:val="clear" w:pos="1428"/>
              </w:tabs>
              <w:ind w:firstLine="0" w:firstLineChars="0"/>
              <w:rPr>
                <w:bCs/>
                <w:sz w:val="24"/>
              </w:rPr>
            </w:pPr>
            <w:r>
              <w:rPr>
                <w:rFonts w:ascii="宋体" w:hAnsi="宋体"/>
                <w:b/>
                <w:szCs w:val="21"/>
              </w:rPr>
              <w:t>数量：</w:t>
            </w:r>
            <w:r>
              <w:rPr>
                <w:rFonts w:hint="eastAsia" w:ascii="宋体" w:hAnsi="宋体" w:cs="宋体"/>
                <w:bCs/>
                <w:szCs w:val="21"/>
              </w:rPr>
              <w:t>1套</w:t>
            </w:r>
          </w:p>
        </w:tc>
        <w:tc>
          <w:tcPr>
            <w:tcW w:w="1403" w:type="dxa"/>
            <w:vAlign w:val="center"/>
          </w:tcPr>
          <w:p w14:paraId="205FF5AB">
            <w:pPr>
              <w:spacing w:line="240" w:lineRule="atLeast"/>
              <w:jc w:val="center"/>
            </w:pPr>
          </w:p>
        </w:tc>
        <w:tc>
          <w:tcPr>
            <w:tcW w:w="1041" w:type="dxa"/>
            <w:vAlign w:val="center"/>
          </w:tcPr>
          <w:p w14:paraId="1C60665B">
            <w:pPr>
              <w:spacing w:line="240" w:lineRule="atLeast"/>
              <w:jc w:val="center"/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436" w:type="dxa"/>
            <w:vAlign w:val="center"/>
          </w:tcPr>
          <w:p w14:paraId="21D5CC9B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826E3E">
            <w:pPr>
              <w:tabs>
                <w:tab w:val="left" w:pos="6915"/>
              </w:tabs>
              <w:spacing w:line="240" w:lineRule="auto"/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Cs/>
                <w:szCs w:val="21"/>
              </w:rPr>
              <w:t>合同签订之日起</w:t>
            </w:r>
            <w:r>
              <w:rPr>
                <w:rFonts w:ascii="宋体" w:hAnsi="宋体"/>
                <w:bCs/>
                <w:szCs w:val="21"/>
              </w:rPr>
              <w:t>24</w:t>
            </w:r>
            <w:r>
              <w:rPr>
                <w:rFonts w:hint="eastAsia" w:ascii="宋体" w:hAnsi="宋体"/>
                <w:bCs/>
                <w:szCs w:val="21"/>
              </w:rPr>
              <w:t>个月内完成货物的交货、安装和调试。</w:t>
            </w:r>
          </w:p>
          <w:p w14:paraId="379C6791">
            <w:pPr>
              <w:tabs>
                <w:tab w:val="left" w:pos="6915"/>
              </w:tabs>
              <w:spacing w:line="240" w:lineRule="auto"/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交付进度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Cs/>
                <w:szCs w:val="21"/>
              </w:rPr>
              <w:t>一次性完全交付。合同签订之日起12个月内，系统实现注入器区域内的视频流接入与检测；合同签订之日起</w:t>
            </w:r>
            <w:r>
              <w:rPr>
                <w:rFonts w:ascii="宋体" w:hAnsi="宋体"/>
                <w:bCs/>
                <w:szCs w:val="21"/>
              </w:rPr>
              <w:t>24</w:t>
            </w:r>
            <w:r>
              <w:rPr>
                <w:rFonts w:hint="eastAsia" w:ascii="宋体" w:hAnsi="宋体"/>
                <w:bCs/>
                <w:szCs w:val="21"/>
              </w:rPr>
              <w:t>个月内，系统完全交付。</w:t>
            </w:r>
          </w:p>
          <w:p w14:paraId="2AEF4465">
            <w:pPr>
              <w:tabs>
                <w:tab w:val="left" w:pos="6915"/>
              </w:tabs>
              <w:spacing w:line="240" w:lineRule="auto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Cs/>
                <w:szCs w:val="21"/>
              </w:rPr>
              <w:t>签订合同后支付30%，验收后支付尾款。</w:t>
            </w:r>
          </w:p>
          <w:p w14:paraId="7E4346C2">
            <w:pPr>
              <w:tabs>
                <w:tab w:val="left" w:pos="6915"/>
              </w:tabs>
              <w:spacing w:line="240" w:lineRule="auto"/>
              <w:ind w:firstLine="420" w:firstLineChars="200"/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注：最后一次付款前，供应商须向采购人提供100%合同价款的正规增值税专用发票。</w:t>
            </w:r>
          </w:p>
          <w:p w14:paraId="64794A7C">
            <w:pPr>
              <w:tabs>
                <w:tab w:val="left" w:pos="6915"/>
              </w:tabs>
              <w:spacing w:line="240" w:lineRule="auto"/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验收指标及验收要求：</w:t>
            </w:r>
            <w:r>
              <w:rPr>
                <w:rFonts w:hint="eastAsia" w:ascii="宋体" w:hAnsi="宋体"/>
                <w:bCs/>
                <w:szCs w:val="21"/>
              </w:rPr>
              <w:t>系统现场测试报告,包括规格和技术参数中列出的所有指标</w:t>
            </w:r>
            <w:r>
              <w:rPr>
                <w:rFonts w:hint="eastAsia" w:ascii="宋体" w:hAnsi="宋体"/>
                <w:b/>
                <w:szCs w:val="21"/>
              </w:rPr>
              <w:t>。</w:t>
            </w:r>
          </w:p>
          <w:p w14:paraId="7333F6A5">
            <w:pPr>
              <w:tabs>
                <w:tab w:val="left" w:pos="6915"/>
              </w:tabs>
              <w:spacing w:line="240" w:lineRule="auto"/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Cs/>
                <w:szCs w:val="21"/>
              </w:rPr>
              <w:t>保修期36个月，起始日期以收到货物并通过验收之日开始计算。保修期内，供应商应在接到报修通知后1 小时内响应，2小时内派技术人员到达现场，</w:t>
            </w:r>
            <w:r>
              <w:rPr>
                <w:rFonts w:ascii="宋体" w:hAnsi="宋体"/>
                <w:bCs/>
                <w:szCs w:val="21"/>
              </w:rPr>
              <w:t>24</w:t>
            </w:r>
            <w:r>
              <w:rPr>
                <w:rFonts w:hint="eastAsia" w:ascii="宋体" w:hAnsi="宋体"/>
                <w:bCs/>
                <w:szCs w:val="21"/>
              </w:rPr>
              <w:t>小时内排除故障。</w:t>
            </w:r>
          </w:p>
          <w:p w14:paraId="63C950A3">
            <w:pPr>
              <w:tabs>
                <w:tab w:val="left" w:pos="6915"/>
              </w:tabs>
              <w:spacing w:line="240" w:lineRule="auto"/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其它：</w:t>
            </w:r>
          </w:p>
          <w:p w14:paraId="0AB5862D">
            <w:pPr>
              <w:tabs>
                <w:tab w:val="left" w:pos="6915"/>
              </w:tabs>
              <w:spacing w:line="240" w:lineRule="auto"/>
              <w:ind w:firstLine="420" w:firstLineChars="200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1、具备ISO 9001质量管理体系认证，提供证书。</w:t>
            </w:r>
          </w:p>
          <w:p w14:paraId="70E91422">
            <w:pPr>
              <w:tabs>
                <w:tab w:val="left" w:pos="6915"/>
              </w:tabs>
              <w:spacing w:line="240" w:lineRule="auto"/>
              <w:ind w:firstLine="420" w:firstLineChars="200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2、项目成员不少于10人，提供为本项目配备人员所缴纳的2025年6月1日以来任意三个月的社保证明材料；至少1人具备系统集成项目管理资质，提供证书。</w:t>
            </w:r>
          </w:p>
          <w:p w14:paraId="2892A9C3">
            <w:pPr>
              <w:tabs>
                <w:tab w:val="left" w:pos="6915"/>
              </w:tabs>
              <w:jc w:val="left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3、合同签订前免费提供demo系统演示视频，需至少包含以下功能：在建筑模型中通过点击图标调取实时视频流；实时检测定位人员位置，展示人员移动与数量；展示实时数据或历史数据。</w:t>
            </w:r>
            <w:bookmarkStart w:id="0" w:name="_GoBack"/>
            <w:bookmarkEnd w:id="0"/>
          </w:p>
        </w:tc>
        <w:tc>
          <w:tcPr>
            <w:tcW w:w="1403" w:type="dxa"/>
            <w:vAlign w:val="center"/>
          </w:tcPr>
          <w:p w14:paraId="324B1D27">
            <w:pPr>
              <w:spacing w:line="240" w:lineRule="atLeast"/>
              <w:jc w:val="center"/>
            </w:pPr>
          </w:p>
        </w:tc>
        <w:tc>
          <w:tcPr>
            <w:tcW w:w="1041" w:type="dxa"/>
            <w:vAlign w:val="center"/>
          </w:tcPr>
          <w:p w14:paraId="06AA2CA0">
            <w:pPr>
              <w:spacing w:line="240" w:lineRule="atLeast"/>
              <w:jc w:val="center"/>
            </w:pPr>
          </w:p>
        </w:tc>
      </w:tr>
    </w:tbl>
    <w:p w14:paraId="0DED7F3B">
      <w:pPr>
        <w:ind w:right="840" w:firstLine="5040" w:firstLineChars="2100"/>
        <w:rPr>
          <w:sz w:val="24"/>
        </w:rPr>
      </w:pPr>
    </w:p>
    <w:p w14:paraId="6B36AD4F">
      <w:pPr>
        <w:ind w:right="840" w:firstLine="5040" w:firstLineChars="210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日期</w:t>
      </w:r>
      <w:r>
        <w:rPr>
          <w:rFonts w:hint="eastAsia"/>
          <w:sz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29A6882"/>
    <w:multiLevelType w:val="multilevel"/>
    <w:tmpl w:val="629A6882"/>
    <w:lvl w:ilvl="0" w:tentative="0">
      <w:start w:val="1"/>
      <w:numFmt w:val="decimal"/>
      <w:lvlText w:val="%1."/>
      <w:lvlJc w:val="left"/>
      <w:pPr>
        <w:ind w:left="900" w:hanging="420"/>
      </w:p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437"/>
    <w:rsid w:val="000110C4"/>
    <w:rsid w:val="00015CB8"/>
    <w:rsid w:val="00020783"/>
    <w:rsid w:val="00050922"/>
    <w:rsid w:val="00086882"/>
    <w:rsid w:val="00090223"/>
    <w:rsid w:val="00091C8D"/>
    <w:rsid w:val="000E54CE"/>
    <w:rsid w:val="00102C13"/>
    <w:rsid w:val="00123779"/>
    <w:rsid w:val="001501D1"/>
    <w:rsid w:val="00151303"/>
    <w:rsid w:val="001548E0"/>
    <w:rsid w:val="00180627"/>
    <w:rsid w:val="001B219D"/>
    <w:rsid w:val="001D3367"/>
    <w:rsid w:val="001E2CE3"/>
    <w:rsid w:val="002026B2"/>
    <w:rsid w:val="002212AC"/>
    <w:rsid w:val="00261EE1"/>
    <w:rsid w:val="00267E42"/>
    <w:rsid w:val="002D1729"/>
    <w:rsid w:val="002E518A"/>
    <w:rsid w:val="003009AA"/>
    <w:rsid w:val="00363C73"/>
    <w:rsid w:val="003923FC"/>
    <w:rsid w:val="003C2330"/>
    <w:rsid w:val="003C7C5A"/>
    <w:rsid w:val="004626C3"/>
    <w:rsid w:val="004973C3"/>
    <w:rsid w:val="004B0D2F"/>
    <w:rsid w:val="00516FB3"/>
    <w:rsid w:val="00547A75"/>
    <w:rsid w:val="00584F75"/>
    <w:rsid w:val="005C4758"/>
    <w:rsid w:val="005D36D5"/>
    <w:rsid w:val="005E2C0C"/>
    <w:rsid w:val="005F7E7B"/>
    <w:rsid w:val="00630F8F"/>
    <w:rsid w:val="00642CDA"/>
    <w:rsid w:val="00670B3D"/>
    <w:rsid w:val="006B62DC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63EDD"/>
    <w:rsid w:val="007B2AE3"/>
    <w:rsid w:val="00811B08"/>
    <w:rsid w:val="00825420"/>
    <w:rsid w:val="00832C3E"/>
    <w:rsid w:val="00841F33"/>
    <w:rsid w:val="00872767"/>
    <w:rsid w:val="00877DA3"/>
    <w:rsid w:val="008A717C"/>
    <w:rsid w:val="008D62B6"/>
    <w:rsid w:val="008E3DB8"/>
    <w:rsid w:val="008F0FFC"/>
    <w:rsid w:val="008F5C2B"/>
    <w:rsid w:val="009149BA"/>
    <w:rsid w:val="00961437"/>
    <w:rsid w:val="00995429"/>
    <w:rsid w:val="00996AC3"/>
    <w:rsid w:val="009B6E26"/>
    <w:rsid w:val="009C3224"/>
    <w:rsid w:val="009C4C31"/>
    <w:rsid w:val="009E2F9A"/>
    <w:rsid w:val="009F5C3A"/>
    <w:rsid w:val="00A01094"/>
    <w:rsid w:val="00A11447"/>
    <w:rsid w:val="00A20D98"/>
    <w:rsid w:val="00A27625"/>
    <w:rsid w:val="00A44E8A"/>
    <w:rsid w:val="00A533CA"/>
    <w:rsid w:val="00A66F06"/>
    <w:rsid w:val="00A7013F"/>
    <w:rsid w:val="00A8112C"/>
    <w:rsid w:val="00AC1D37"/>
    <w:rsid w:val="00AC67EF"/>
    <w:rsid w:val="00AE3028"/>
    <w:rsid w:val="00AF7A8B"/>
    <w:rsid w:val="00B0175F"/>
    <w:rsid w:val="00B04741"/>
    <w:rsid w:val="00B311D0"/>
    <w:rsid w:val="00B64004"/>
    <w:rsid w:val="00B7785A"/>
    <w:rsid w:val="00B90DC2"/>
    <w:rsid w:val="00B971DE"/>
    <w:rsid w:val="00BA1B3F"/>
    <w:rsid w:val="00BC2767"/>
    <w:rsid w:val="00BD701B"/>
    <w:rsid w:val="00C102A3"/>
    <w:rsid w:val="00C1298E"/>
    <w:rsid w:val="00C26D9F"/>
    <w:rsid w:val="00C420C3"/>
    <w:rsid w:val="00C442AD"/>
    <w:rsid w:val="00CA3288"/>
    <w:rsid w:val="00CA3E3B"/>
    <w:rsid w:val="00D011DC"/>
    <w:rsid w:val="00D04097"/>
    <w:rsid w:val="00D16AC0"/>
    <w:rsid w:val="00D24D09"/>
    <w:rsid w:val="00D72E1E"/>
    <w:rsid w:val="00D81354"/>
    <w:rsid w:val="00DA7BF9"/>
    <w:rsid w:val="00E00131"/>
    <w:rsid w:val="00E0215E"/>
    <w:rsid w:val="00E147A9"/>
    <w:rsid w:val="00E31AA5"/>
    <w:rsid w:val="00E5012E"/>
    <w:rsid w:val="00E762FD"/>
    <w:rsid w:val="00E930C8"/>
    <w:rsid w:val="00EA412A"/>
    <w:rsid w:val="00EA6BA9"/>
    <w:rsid w:val="00EB6224"/>
    <w:rsid w:val="00EB6FB2"/>
    <w:rsid w:val="00EC5A9D"/>
    <w:rsid w:val="00F02F94"/>
    <w:rsid w:val="00F26580"/>
    <w:rsid w:val="00F347F0"/>
    <w:rsid w:val="00F34AE9"/>
    <w:rsid w:val="00F357B0"/>
    <w:rsid w:val="00F43549"/>
    <w:rsid w:val="00F50B62"/>
    <w:rsid w:val="00F70F95"/>
    <w:rsid w:val="00F82AA6"/>
    <w:rsid w:val="00F855E3"/>
    <w:rsid w:val="00FA453C"/>
    <w:rsid w:val="00FC7C08"/>
    <w:rsid w:val="00FE15FA"/>
    <w:rsid w:val="00FF78CF"/>
    <w:rsid w:val="0279069A"/>
    <w:rsid w:val="07416EBF"/>
    <w:rsid w:val="093C12EB"/>
    <w:rsid w:val="0EB47357"/>
    <w:rsid w:val="24FF7627"/>
    <w:rsid w:val="251E174D"/>
    <w:rsid w:val="2D070EC5"/>
    <w:rsid w:val="2F83661E"/>
    <w:rsid w:val="40512489"/>
    <w:rsid w:val="468B21C7"/>
    <w:rsid w:val="46BF17AE"/>
    <w:rsid w:val="47494CC3"/>
    <w:rsid w:val="48EB0E6F"/>
    <w:rsid w:val="58533025"/>
    <w:rsid w:val="5DC766F2"/>
    <w:rsid w:val="64331764"/>
    <w:rsid w:val="6DA20D7D"/>
    <w:rsid w:val="70E72ABF"/>
    <w:rsid w:val="79B03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 w:line="278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basedOn w:val="7"/>
    <w:qFormat/>
    <w:uiPriority w:val="0"/>
    <w:rPr>
      <w:rFonts w:hint="default" w:ascii="MicrosoftYaHei" w:hAnsi="MicrosoftYaHei"/>
      <w:color w:val="000000"/>
      <w:sz w:val="22"/>
      <w:szCs w:val="22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99"/>
    <w:pPr>
      <w:tabs>
        <w:tab w:val="left" w:pos="1428"/>
      </w:tabs>
      <w:ind w:firstLine="420" w:firstLineChars="200"/>
      <w:jc w:val="left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3</Pages>
  <Words>1278</Words>
  <Characters>1418</Characters>
  <Lines>11</Lines>
  <Paragraphs>3</Paragraphs>
  <TotalTime>0</TotalTime>
  <ScaleCrop>false</ScaleCrop>
  <LinksUpToDate>false</LinksUpToDate>
  <CharactersWithSpaces>1458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2024-07-15T01:36:00Z</dcterms:created>
  <dc:creator>China</dc:creator>
  <cp:lastModifiedBy>陈文佳</cp:lastModifiedBy>
  <dcterms:modified xsi:type="dcterms:W3CDTF">2026-03-25T07:44:09Z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eyJoZGlkIjoiMzc0OTQ1OWZiNDc3Y2MyZmZmZWIzYzRlODQ4NDE3OTYiLCJ1c2VySWQiOiIxNzc0OTA2Mjk1In0=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