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OPI和本地调试终端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73AC24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主流品牌台式机：</w:t>
            </w:r>
          </w:p>
          <w:p w14:paraId="639842F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CPU:i9以上（含），‌核心架构‌：24核心以上（含），‌频率范围‌：基础频率2.0GHz以上（含），‌缓存配置‌：三级缓存36MB + 二级缓存32MB 以上（含）。</w:t>
            </w:r>
          </w:p>
          <w:p w14:paraId="26117E62">
            <w:pPr>
              <w:tabs>
                <w:tab w:val="left" w:pos="6915"/>
              </w:tabs>
              <w:jc w:val="left"/>
              <w:rPr>
                <w:rFonts w:hint="default" w:ascii="宋体" w:hAnsi="宋体" w:cs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主板： Q670芯片组或更高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PCIe NVMe硬盘等硬件标准；接口：USB2.0 USB3.0  Type-C接口 M.2 SSD接口 3.5寸HDD硬盘插槽，RJ45千兆有线网口，PCI插槽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4个内存插槽。</w:t>
            </w:r>
          </w:p>
          <w:p w14:paraId="558B86D9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内存：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32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GB以上（含），‌主频‌：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52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00MHz以上（含）；</w:t>
            </w:r>
          </w:p>
          <w:p w14:paraId="0CAA7B15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硬盘：双硬盘,250GB以上（含）固态硬盘+2TB以上（含）机械硬盘；</w:t>
            </w:r>
          </w:p>
          <w:p w14:paraId="393A5FF7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显卡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：支持多显示器输出（2个及以上）；</w:t>
            </w:r>
          </w:p>
          <w:p w14:paraId="779AAC0C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机箱：易拆，可免工具拆卸；</w:t>
            </w:r>
          </w:p>
          <w:p w14:paraId="2E4A78F9">
            <w:pPr>
              <w:tabs>
                <w:tab w:val="left" w:pos="6915"/>
              </w:tabs>
              <w:jc w:val="left"/>
              <w:rPr>
                <w:rFonts w:hint="eastAsia" w:ascii="宋体" w:hAnsi="宋体" w:cs="宋体" w:eastAsiaTheme="minorEastAsia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显示器：QHD双屏，27寸尺寸以上（含），分辨率：2560 x 1440 @ 120 Hz 以上（含），多输入接口：至少包含DP+HDMI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eastAsia="zh-CN"/>
              </w:rPr>
              <w:t>。</w:t>
            </w:r>
          </w:p>
          <w:p w14:paraId="1690EF5E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数量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：10套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7F420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交货期：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</w:rPr>
              <w:t>本合同签订后，甲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方将提前30日向乙方发出供货通知。乙方收到通知后，须在该期限将货物送达指定地点。</w:t>
            </w:r>
          </w:p>
          <w:p w14:paraId="05265F6D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交付进度和付款方式：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甲方首期支付合同总价50%的预付款；待货到通过验收提供产品合格证后，30日内支付剩余50%尾款。</w:t>
            </w:r>
          </w:p>
          <w:p w14:paraId="16E30DE9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提供设备产品合格证书。</w:t>
            </w:r>
          </w:p>
          <w:p w14:paraId="75B278A4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保修及售后服务：</w:t>
            </w:r>
            <w:r>
              <w:rPr>
                <w:rFonts w:hint="eastAsia" w:ascii="宋体" w:hAnsi="宋体" w:cs="宋体"/>
                <w:bCs/>
                <w:sz w:val="20"/>
                <w:szCs w:val="20"/>
              </w:rPr>
              <w:t>整体质保期为项目最终验收合格之日起 24个月。保修期内，因产品质量或施工问题导致的故障，乙方提供免费维修或更换。故障发生后，乙方需在2小时内响应，24小时内派人员到场处理。</w:t>
            </w:r>
          </w:p>
          <w:p w14:paraId="4F294FA2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1A9D54C9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2026-03-27T07:27:43Z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