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238C8BE6">
      <w:pPr>
        <w:spacing w:line="240" w:lineRule="atLeast"/>
        <w:jc w:val="center"/>
        <w:rPr>
          <w:rFonts w:hint="eastAsia"/>
          <w:sz w:val="24"/>
          <w:szCs w:val="24"/>
        </w:rPr>
      </w:pP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67AD7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4794F3A1">
            <w:pPr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  <w:p w14:paraId="0020DDC1">
            <w:pPr>
              <w:spacing w:line="24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6073A60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4AA35C7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2D92E16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7E91DA2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0AC003D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7B491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705" w:type="dxa"/>
            <w:vAlign w:val="center"/>
          </w:tcPr>
          <w:p w14:paraId="2479051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BA93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示波器</w:t>
            </w:r>
          </w:p>
        </w:tc>
        <w:tc>
          <w:tcPr>
            <w:tcW w:w="5105" w:type="dxa"/>
            <w:vAlign w:val="center"/>
          </w:tcPr>
          <w:p w14:paraId="5393161E">
            <w:pPr>
              <w:tabs>
                <w:tab w:val="left" w:pos="6915"/>
              </w:tabs>
              <w:spacing w:line="360" w:lineRule="auto"/>
              <w:jc w:val="left"/>
              <w:rPr>
                <w:bCs/>
                <w:sz w:val="24"/>
                <w:szCs w:val="24"/>
              </w:rPr>
            </w:pPr>
          </w:p>
          <w:p w14:paraId="056B1B97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4通道，同时工作时都能达到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bCs/>
                <w:sz w:val="24"/>
                <w:szCs w:val="24"/>
              </w:rPr>
              <w:t>Gsps采样率，12bit分辨率，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Cs/>
                <w:sz w:val="24"/>
                <w:szCs w:val="24"/>
              </w:rPr>
              <w:t>G带宽，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Cs/>
                <w:sz w:val="24"/>
                <w:szCs w:val="24"/>
              </w:rPr>
              <w:t>台；</w:t>
            </w:r>
          </w:p>
          <w:p w14:paraId="52774BC4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4通道，同时工作时都能达到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bCs/>
                <w:sz w:val="24"/>
                <w:szCs w:val="24"/>
              </w:rPr>
              <w:t>Gsps采样率，12bit分辨率，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500M</w:t>
            </w:r>
            <w:r>
              <w:rPr>
                <w:rFonts w:hint="eastAsia"/>
                <w:bCs/>
                <w:sz w:val="24"/>
                <w:szCs w:val="24"/>
              </w:rPr>
              <w:t>带宽，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bCs/>
                <w:sz w:val="24"/>
                <w:szCs w:val="24"/>
              </w:rPr>
              <w:t>台；</w:t>
            </w:r>
          </w:p>
          <w:p w14:paraId="20FAF0E1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7E1187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C262089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3F6C3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0D1238C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70AF5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2B34E">
            <w:pPr>
              <w:tabs>
                <w:tab w:val="left" w:pos="6915"/>
              </w:tabs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AB30563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合同签订后5个月内将货物送达至甲方指定地点。</w:t>
            </w:r>
          </w:p>
          <w:p w14:paraId="6FBDBFC1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付款方式：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合同签订后支付合同总额的50%，货到验收合格后依据发票支付尾款。</w:t>
            </w:r>
          </w:p>
          <w:p w14:paraId="343F9948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验收指标及验收要求：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要求有出厂校准报告。</w:t>
            </w:r>
          </w:p>
          <w:p w14:paraId="24B6253A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保修及售后服务：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产品质保期为24个月，时间自验收合格之日起计算，或者按厂家国家通常三包质保和售后，以两个时间中更长的时间质保。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4CF9174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E3DF2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B36AD4F">
      <w:pPr>
        <w:ind w:right="840" w:firstLine="5040" w:firstLineChars="2100"/>
        <w:jc w:val="right"/>
        <w:rPr>
          <w:sz w:val="24"/>
        </w:rPr>
      </w:pPr>
      <w:r>
        <w:rPr>
          <w:sz w:val="24"/>
        </w:rPr>
        <w:br w:type="textWrapping"/>
      </w:r>
      <w:r>
        <w:rPr>
          <w:sz w:val="24"/>
        </w:rPr>
        <w:br w:type="textWrapping"/>
      </w:r>
      <w:r>
        <w:rPr>
          <w:sz w:val="24"/>
        </w:rPr>
        <w:br w:type="textWrapping"/>
      </w: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wordWrap w:val="0"/>
        <w:ind w:right="840"/>
        <w:jc w:val="right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 xml:space="preserve">      </w:t>
      </w:r>
    </w:p>
    <w:p w14:paraId="7537CE47"/>
    <w:p w14:paraId="3DEFB5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60F87"/>
    <w:rsid w:val="3096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2025-11-28T10:15:00Z</dcterms:created>
  <dc:creator>amour</dc:creator>
  <cp:lastModifiedBy>amour</cp:lastModifiedBy>
  <dcterms:modified xsi:type="dcterms:W3CDTF">2025-11-28T10:16:04Z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9B21147F34E846B39E6CA3CE5053227C_11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