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荧光探测器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FF2247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2"/>
                <w:szCs w:val="21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>采购2台荧光探测器，具体技术参数要求如下：</w:t>
            </w:r>
          </w:p>
          <w:tbl>
            <w:tblPr>
              <w:tblStyle w:val="5"/>
              <w:tblW w:w="51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09"/>
              <w:gridCol w:w="2731"/>
            </w:tblGrid>
            <w:tr w14:paraId="0DDA652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6" w:hRule="atLeast"/>
                <w:jc w:val="center"/>
              </w:trPr>
              <w:tc>
                <w:tcPr>
                  <w:tcW w:w="5140" w:type="dxa"/>
                  <w:gridSpan w:val="2"/>
                  <w:shd w:val="clear" w:color="auto" w:fill="auto"/>
                  <w:vAlign w:val="center"/>
                </w:tcPr>
                <w:p w14:paraId="21A68F76">
                  <w:pPr>
                    <w:tabs>
                      <w:tab w:val="left" w:pos="6915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技术参数</w:t>
                  </w:r>
                </w:p>
              </w:tc>
            </w:tr>
            <w:tr w14:paraId="5D8BC11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6" w:hRule="atLeast"/>
                <w:jc w:val="center"/>
              </w:trPr>
              <w:tc>
                <w:tcPr>
                  <w:tcW w:w="2409" w:type="dxa"/>
                  <w:vAlign w:val="center"/>
                </w:tcPr>
                <w:p w14:paraId="0E67675B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1"/>
                    </w:rPr>
                    <w:t>适配能区</w:t>
                  </w:r>
                </w:p>
              </w:tc>
              <w:tc>
                <w:tcPr>
                  <w:tcW w:w="2731" w:type="dxa"/>
                  <w:noWrap/>
                  <w:vAlign w:val="bottom"/>
                </w:tcPr>
                <w:p w14:paraId="2FF4CDE6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1"/>
                    </w:rPr>
                    <w:t>4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1"/>
                    </w:rPr>
                    <w:t xml:space="preserve">-10 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1"/>
                    </w:rPr>
                    <w:t>keV</w:t>
                  </w:r>
                </w:p>
              </w:tc>
            </w:tr>
            <w:tr w14:paraId="544F3E6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6" w:hRule="atLeast"/>
                <w:jc w:val="center"/>
              </w:trPr>
              <w:tc>
                <w:tcPr>
                  <w:tcW w:w="2409" w:type="dxa"/>
                  <w:vAlign w:val="center"/>
                </w:tcPr>
                <w:p w14:paraId="557BE666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1"/>
                    </w:rPr>
                    <w:t>数量</w:t>
                  </w:r>
                </w:p>
              </w:tc>
              <w:tc>
                <w:tcPr>
                  <w:tcW w:w="2731" w:type="dxa"/>
                  <w:noWrap/>
                  <w:vAlign w:val="bottom"/>
                </w:tcPr>
                <w:p w14:paraId="0D42BCBC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1"/>
                    </w:rPr>
                  </w:pP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1"/>
                    </w:rPr>
                    <w:t>2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1"/>
                    </w:rPr>
                    <w:t>台</w:t>
                  </w:r>
                </w:p>
              </w:tc>
            </w:tr>
            <w:tr w14:paraId="6757C91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6" w:hRule="atLeast"/>
                <w:jc w:val="center"/>
              </w:trPr>
              <w:tc>
                <w:tcPr>
                  <w:tcW w:w="2409" w:type="dxa"/>
                  <w:vAlign w:val="center"/>
                </w:tcPr>
                <w:p w14:paraId="7F1ADC65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1"/>
                    </w:rPr>
                    <w:t>级数</w:t>
                  </w:r>
                </w:p>
              </w:tc>
              <w:tc>
                <w:tcPr>
                  <w:tcW w:w="2731" w:type="dxa"/>
                  <w:noWrap/>
                  <w:vAlign w:val="bottom"/>
                </w:tcPr>
                <w:p w14:paraId="4486181C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1"/>
                    </w:rPr>
                    <w:t>5级</w:t>
                  </w:r>
                </w:p>
              </w:tc>
            </w:tr>
            <w:tr w14:paraId="7EC4B57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8" w:hRule="atLeast"/>
                <w:jc w:val="center"/>
              </w:trPr>
              <w:tc>
                <w:tcPr>
                  <w:tcW w:w="2409" w:type="dxa"/>
                  <w:vAlign w:val="center"/>
                </w:tcPr>
                <w:p w14:paraId="2DCAEFF8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1"/>
                    </w:rPr>
                    <w:t>增益情况</w:t>
                  </w:r>
                </w:p>
              </w:tc>
              <w:tc>
                <w:tcPr>
                  <w:tcW w:w="2731" w:type="dxa"/>
                  <w:noWrap/>
                  <w:vAlign w:val="bottom"/>
                </w:tcPr>
                <w:p w14:paraId="5D64CACB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1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1"/>
                    </w:rPr>
                    <w:t>四档，分别为×1、×1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1"/>
                    </w:rPr>
                    <w:t>0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1"/>
                    </w:rPr>
                    <w:t>、×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1"/>
                    </w:rPr>
                    <w:t>100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1"/>
                    </w:rPr>
                    <w:t>、×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1"/>
                    </w:rPr>
                    <w:t>1000</w:t>
                  </w:r>
                </w:p>
              </w:tc>
            </w:tr>
            <w:tr w14:paraId="7DBC86E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6" w:hRule="atLeast"/>
                <w:jc w:val="center"/>
              </w:trPr>
              <w:tc>
                <w:tcPr>
                  <w:tcW w:w="2409" w:type="dxa"/>
                  <w:vAlign w:val="bottom"/>
                </w:tcPr>
                <w:p w14:paraId="5B71BF3D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输出电压</w:t>
                  </w:r>
                </w:p>
              </w:tc>
              <w:tc>
                <w:tcPr>
                  <w:tcW w:w="2731" w:type="dxa"/>
                  <w:noWrap/>
                  <w:vAlign w:val="bottom"/>
                </w:tcPr>
                <w:p w14:paraId="35C2657F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5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  <w:t>0-200 V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（负压）</w:t>
                  </w:r>
                </w:p>
              </w:tc>
            </w:tr>
            <w:tr w14:paraId="66C1D9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6" w:hRule="atLeast"/>
                <w:jc w:val="center"/>
              </w:trPr>
              <w:tc>
                <w:tcPr>
                  <w:tcW w:w="2409" w:type="dxa"/>
                  <w:vAlign w:val="center"/>
                </w:tcPr>
                <w:p w14:paraId="44908750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输入电压</w:t>
                  </w:r>
                </w:p>
              </w:tc>
              <w:tc>
                <w:tcPr>
                  <w:tcW w:w="2731" w:type="dxa"/>
                  <w:noWrap/>
                  <w:vAlign w:val="bottom"/>
                </w:tcPr>
                <w:p w14:paraId="77A3ECD7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±1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  <w:t>2 V</w:t>
                  </w:r>
                </w:p>
              </w:tc>
            </w:tr>
            <w:tr w14:paraId="5D1E812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6" w:hRule="atLeast"/>
                <w:jc w:val="center"/>
              </w:trPr>
              <w:tc>
                <w:tcPr>
                  <w:tcW w:w="2409" w:type="dxa"/>
                  <w:vAlign w:val="center"/>
                </w:tcPr>
                <w:p w14:paraId="35C9DA48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输入阻抗</w:t>
                  </w:r>
                </w:p>
              </w:tc>
              <w:tc>
                <w:tcPr>
                  <w:tcW w:w="2731" w:type="dxa"/>
                  <w:noWrap/>
                  <w:vAlign w:val="bottom"/>
                </w:tcPr>
                <w:p w14:paraId="1BC7DAB8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≥1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  <w:t>0 M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Ω</w:t>
                  </w:r>
                </w:p>
              </w:tc>
            </w:tr>
            <w:tr w14:paraId="7E889D3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6" w:hRule="atLeast"/>
                <w:jc w:val="center"/>
              </w:trPr>
              <w:tc>
                <w:tcPr>
                  <w:tcW w:w="2409" w:type="dxa"/>
                  <w:vAlign w:val="center"/>
                </w:tcPr>
                <w:p w14:paraId="764DE433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稳定性（电流漂移）</w:t>
                  </w:r>
                </w:p>
              </w:tc>
              <w:tc>
                <w:tcPr>
                  <w:tcW w:w="2731" w:type="dxa"/>
                  <w:noWrap/>
                  <w:vAlign w:val="bottom"/>
                </w:tcPr>
                <w:p w14:paraId="25385E5B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≤0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  <w:t>.5%</w:t>
                  </w:r>
                </w:p>
              </w:tc>
            </w:tr>
            <w:tr w14:paraId="1F0C0A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6" w:hRule="atLeast"/>
                <w:jc w:val="center"/>
              </w:trPr>
              <w:tc>
                <w:tcPr>
                  <w:tcW w:w="2409" w:type="dxa"/>
                  <w:vAlign w:val="center"/>
                </w:tcPr>
                <w:p w14:paraId="5A03AD0E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可测电流范围</w:t>
                  </w:r>
                </w:p>
              </w:tc>
              <w:tc>
                <w:tcPr>
                  <w:tcW w:w="2731" w:type="dxa"/>
                  <w:noWrap/>
                  <w:vAlign w:val="bottom"/>
                </w:tcPr>
                <w:p w14:paraId="5A12D1EB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1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  <w:t>0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  <w:vertAlign w:val="superscript"/>
                    </w:rPr>
                    <w:t>-13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  <w:t>-10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  <w:vertAlign w:val="superscript"/>
                    </w:rPr>
                    <w:t>-9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  <w:t>A</w:t>
                  </w:r>
                </w:p>
              </w:tc>
            </w:tr>
            <w:tr w14:paraId="781C73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6" w:hRule="atLeast"/>
                <w:jc w:val="center"/>
              </w:trPr>
              <w:tc>
                <w:tcPr>
                  <w:tcW w:w="2409" w:type="dxa"/>
                </w:tcPr>
                <w:p w14:paraId="2BF8BA36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输出噪声</w:t>
                  </w:r>
                </w:p>
              </w:tc>
              <w:tc>
                <w:tcPr>
                  <w:tcW w:w="2731" w:type="dxa"/>
                  <w:noWrap/>
                </w:tcPr>
                <w:p w14:paraId="000C6F74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≤2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mV</w:t>
                  </w:r>
                </w:p>
              </w:tc>
            </w:tr>
            <w:tr w14:paraId="6CDFFCF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64" w:hRule="atLeast"/>
                <w:jc w:val="center"/>
              </w:trPr>
              <w:tc>
                <w:tcPr>
                  <w:tcW w:w="2409" w:type="dxa"/>
                </w:tcPr>
                <w:p w14:paraId="768FB3EE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暗电流</w:t>
                  </w:r>
                </w:p>
              </w:tc>
              <w:tc>
                <w:tcPr>
                  <w:tcW w:w="2731" w:type="dxa"/>
                  <w:noWrap/>
                </w:tcPr>
                <w:p w14:paraId="01F69C8A">
                  <w:pPr>
                    <w:tabs>
                      <w:tab w:val="left" w:pos="6915"/>
                    </w:tabs>
                    <w:jc w:val="center"/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</w:pPr>
                  <w:r>
                    <w:rPr>
                      <w:rFonts w:hint="eastAsia" w:asciiTheme="majorEastAsia" w:hAnsiTheme="majorEastAsia" w:eastAsiaTheme="majorEastAsia"/>
                      <w:b/>
                      <w:sz w:val="20"/>
                      <w:szCs w:val="20"/>
                    </w:rPr>
                    <w:t>≤1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  <w:t>0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  <w:vertAlign w:val="superscript"/>
                    </w:rPr>
                    <w:t>-13</w:t>
                  </w:r>
                  <w:r>
                    <w:rPr>
                      <w:rFonts w:asciiTheme="majorEastAsia" w:hAnsiTheme="majorEastAsia" w:eastAsiaTheme="majorEastAsia"/>
                      <w:b/>
                      <w:sz w:val="20"/>
                      <w:szCs w:val="20"/>
                    </w:rPr>
                    <w:t>A</w:t>
                  </w:r>
                </w:p>
              </w:tc>
            </w:tr>
          </w:tbl>
          <w:p w14:paraId="210B5206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C6791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签订合同后8个月内</w:t>
            </w:r>
          </w:p>
          <w:p w14:paraId="1263B4E5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合同签订后，支付合同总价的30%；货到买方指定地点并且经买方验收合格后，支付合同总价的70%。</w:t>
            </w:r>
          </w:p>
          <w:p w14:paraId="4327E988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</w:rPr>
              <w:t>提供出厂报告。到货后验收：级数是否为5级、输出电压是否满足50-200 V（负压）、输入阻抗≥10 MΩ、稳定性（电流漂移）≤0.5%、可测电流范围10</w:t>
            </w:r>
            <w:r>
              <w:rPr>
                <w:rFonts w:hint="eastAsia" w:ascii="宋体" w:hAnsi="宋体"/>
                <w:bCs/>
                <w:szCs w:val="21"/>
                <w:vertAlign w:val="superscript"/>
              </w:rPr>
              <w:t>-13</w:t>
            </w:r>
            <w:r>
              <w:rPr>
                <w:rFonts w:hint="eastAsia" w:ascii="宋体" w:hAnsi="宋体"/>
                <w:bCs/>
                <w:szCs w:val="21"/>
              </w:rPr>
              <w:t>-10</w:t>
            </w:r>
            <w:r>
              <w:rPr>
                <w:rFonts w:hint="eastAsia" w:ascii="宋体" w:hAnsi="宋体"/>
                <w:bCs/>
                <w:szCs w:val="21"/>
                <w:vertAlign w:val="superscript"/>
              </w:rPr>
              <w:t>-9</w:t>
            </w:r>
            <w:r>
              <w:rPr>
                <w:rFonts w:hint="eastAsia" w:ascii="宋体" w:hAnsi="宋体"/>
                <w:bCs/>
                <w:szCs w:val="21"/>
              </w:rPr>
              <w:t>A、输出噪声≤2 mV。</w:t>
            </w:r>
          </w:p>
          <w:p w14:paraId="2D078EEC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提供至少1年的免费保修，包含人工、维修及零件等费用。在保修期内，供货商需要及时提供维修服务，包括产品的正常检修、维护等。保修期自验收签字之日算起，保修期内因质量问题而导致设备停用的时间从保修期中扣除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668D654E"/>
    <w:rsid w:val="7479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2026-05-12T07:43:09Z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