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AC448">
      <w:pPr>
        <w:jc w:val="center"/>
        <w:rPr>
          <w:sz w:val="36"/>
        </w:rPr>
      </w:pPr>
      <w:r>
        <w:rPr>
          <w:sz w:val="36"/>
        </w:rPr>
        <w:t>中国科学技术大学国家同步辐射实验室</w:t>
      </w:r>
    </w:p>
    <w:p w14:paraId="4BED1386">
      <w:pPr>
        <w:jc w:val="center"/>
      </w:pPr>
      <w:bookmarkStart w:id="12" w:name="_GoBack"/>
      <w:r>
        <w:rPr>
          <w:rFonts w:hint="eastAsia"/>
          <w:sz w:val="36"/>
        </w:rPr>
        <w:t>技术指标供应商确认表</w:t>
      </w:r>
    </w:p>
    <w:bookmarkEnd w:id="12"/>
    <w:tbl>
      <w:tblPr>
        <w:tblStyle w:val="3"/>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245"/>
        <w:gridCol w:w="5604"/>
        <w:gridCol w:w="1227"/>
        <w:gridCol w:w="1000"/>
      </w:tblGrid>
      <w:tr w14:paraId="0B802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08595080">
            <w:pPr>
              <w:spacing w:line="240" w:lineRule="atLeast"/>
              <w:jc w:val="center"/>
              <w:rPr>
                <w:sz w:val="24"/>
                <w:szCs w:val="24"/>
              </w:rPr>
            </w:pPr>
            <w:r>
              <w:rPr>
                <w:rFonts w:hint="eastAsia"/>
                <w:sz w:val="24"/>
                <w:szCs w:val="24"/>
              </w:rPr>
              <w:t>序号</w:t>
            </w:r>
          </w:p>
        </w:tc>
        <w:tc>
          <w:tcPr>
            <w:tcW w:w="1245" w:type="dxa"/>
            <w:vAlign w:val="center"/>
          </w:tcPr>
          <w:p w14:paraId="5D2BE5C9">
            <w:pPr>
              <w:spacing w:line="240" w:lineRule="atLeast"/>
              <w:jc w:val="center"/>
              <w:rPr>
                <w:sz w:val="24"/>
                <w:szCs w:val="24"/>
              </w:rPr>
            </w:pPr>
            <w:r>
              <w:rPr>
                <w:rFonts w:hint="eastAsia"/>
                <w:sz w:val="24"/>
                <w:szCs w:val="24"/>
              </w:rPr>
              <w:t>名称</w:t>
            </w:r>
          </w:p>
        </w:tc>
        <w:tc>
          <w:tcPr>
            <w:tcW w:w="5604" w:type="dxa"/>
            <w:vAlign w:val="center"/>
          </w:tcPr>
          <w:p w14:paraId="2D8488EE">
            <w:pPr>
              <w:spacing w:line="240" w:lineRule="atLeast"/>
              <w:jc w:val="center"/>
              <w:rPr>
                <w:sz w:val="24"/>
                <w:szCs w:val="24"/>
              </w:rPr>
            </w:pPr>
            <w:r>
              <w:rPr>
                <w:rFonts w:hint="eastAsia"/>
                <w:sz w:val="24"/>
                <w:szCs w:val="24"/>
              </w:rPr>
              <w:t>技术指标</w:t>
            </w:r>
          </w:p>
        </w:tc>
        <w:tc>
          <w:tcPr>
            <w:tcW w:w="1227" w:type="dxa"/>
            <w:vAlign w:val="center"/>
          </w:tcPr>
          <w:p w14:paraId="5FE1DE87">
            <w:pPr>
              <w:spacing w:line="240" w:lineRule="atLeast"/>
              <w:jc w:val="center"/>
              <w:rPr>
                <w:sz w:val="24"/>
                <w:szCs w:val="24"/>
              </w:rPr>
            </w:pPr>
            <w:r>
              <w:rPr>
                <w:rFonts w:hint="eastAsia"/>
                <w:sz w:val="24"/>
                <w:szCs w:val="24"/>
              </w:rPr>
              <w:t>偏离说明</w:t>
            </w:r>
          </w:p>
          <w:p w14:paraId="2F0BEEB9">
            <w:pPr>
              <w:spacing w:line="240" w:lineRule="atLeast"/>
              <w:jc w:val="center"/>
              <w:rPr>
                <w:sz w:val="24"/>
                <w:szCs w:val="24"/>
              </w:rPr>
            </w:pPr>
            <w:r>
              <w:rPr>
                <w:rFonts w:hint="eastAsia"/>
                <w:sz w:val="24"/>
                <w:szCs w:val="24"/>
              </w:rPr>
              <w:t>(</w:t>
            </w:r>
            <w:r>
              <w:rPr>
                <w:sz w:val="24"/>
                <w:szCs w:val="24"/>
              </w:rPr>
              <w:t>无偏离</w:t>
            </w:r>
            <w:r>
              <w:rPr>
                <w:rFonts w:hint="eastAsia"/>
                <w:sz w:val="24"/>
                <w:szCs w:val="24"/>
              </w:rPr>
              <w:t>/</w:t>
            </w:r>
            <w:r>
              <w:rPr>
                <w:sz w:val="24"/>
                <w:szCs w:val="24"/>
              </w:rPr>
              <w:t>正偏离</w:t>
            </w:r>
            <w:r>
              <w:rPr>
                <w:rFonts w:hint="eastAsia"/>
                <w:sz w:val="24"/>
                <w:szCs w:val="24"/>
              </w:rPr>
              <w:t>/</w:t>
            </w:r>
            <w:r>
              <w:rPr>
                <w:sz w:val="24"/>
                <w:szCs w:val="24"/>
              </w:rPr>
              <w:t>负偏离</w:t>
            </w:r>
            <w:r>
              <w:rPr>
                <w:rFonts w:hint="eastAsia"/>
                <w:sz w:val="24"/>
                <w:szCs w:val="24"/>
              </w:rPr>
              <w:t>)</w:t>
            </w:r>
          </w:p>
        </w:tc>
        <w:tc>
          <w:tcPr>
            <w:tcW w:w="1000" w:type="dxa"/>
            <w:vAlign w:val="center"/>
          </w:tcPr>
          <w:p w14:paraId="226E9AE1">
            <w:pPr>
              <w:spacing w:line="240" w:lineRule="atLeast"/>
              <w:jc w:val="center"/>
              <w:rPr>
                <w:sz w:val="24"/>
                <w:szCs w:val="24"/>
              </w:rPr>
            </w:pPr>
            <w:r>
              <w:rPr>
                <w:rFonts w:hint="eastAsia"/>
                <w:sz w:val="24"/>
                <w:szCs w:val="24"/>
              </w:rPr>
              <w:t>偏离值</w:t>
            </w:r>
          </w:p>
        </w:tc>
      </w:tr>
      <w:tr w14:paraId="146FE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05" w:type="dxa"/>
            <w:vAlign w:val="center"/>
          </w:tcPr>
          <w:p w14:paraId="4B4929B2">
            <w:pPr>
              <w:spacing w:line="240" w:lineRule="atLeast"/>
              <w:jc w:val="center"/>
              <w:rPr>
                <w:sz w:val="24"/>
                <w:szCs w:val="24"/>
              </w:rPr>
            </w:pPr>
            <w:r>
              <w:rPr>
                <w:rFonts w:hint="eastAsia"/>
                <w:sz w:val="24"/>
                <w:szCs w:val="24"/>
              </w:rPr>
              <w:t>1</w:t>
            </w:r>
          </w:p>
        </w:tc>
        <w:tc>
          <w:tcPr>
            <w:tcW w:w="1245" w:type="dxa"/>
            <w:tcBorders>
              <w:top w:val="single" w:color="auto" w:sz="4" w:space="0"/>
              <w:left w:val="single" w:color="auto" w:sz="4" w:space="0"/>
              <w:right w:val="single" w:color="auto" w:sz="4" w:space="0"/>
            </w:tcBorders>
            <w:shd w:val="clear" w:color="auto" w:fill="auto"/>
            <w:vAlign w:val="center"/>
          </w:tcPr>
          <w:p w14:paraId="4EF55EAC">
            <w:pPr>
              <w:widowControl/>
              <w:spacing w:line="240" w:lineRule="atLeast"/>
              <w:jc w:val="center"/>
              <w:rPr>
                <w:rFonts w:hint="default" w:ascii="Times New Roman" w:hAnsi="Times New Roman" w:cs="Times New Roman"/>
                <w:bCs/>
                <w:sz w:val="24"/>
                <w:szCs w:val="28"/>
              </w:rPr>
            </w:pPr>
            <w:r>
              <w:rPr>
                <w:rFonts w:hint="default" w:ascii="Times New Roman" w:hAnsi="Times New Roman" w:cs="Times New Roman"/>
                <w:bCs/>
                <w:sz w:val="24"/>
                <w:szCs w:val="28"/>
              </w:rPr>
              <w:t>BPM电子读出系统</w:t>
            </w:r>
          </w:p>
          <w:p w14:paraId="1D4BF417">
            <w:pPr>
              <w:widowControl/>
              <w:spacing w:line="240" w:lineRule="atLeast"/>
              <w:jc w:val="center"/>
              <w:rPr>
                <w:rFonts w:hint="eastAsia" w:ascii="Times New Roman" w:hAnsi="Times New Roman" w:cs="Times New Roman" w:eastAsiaTheme="minorEastAsia"/>
                <w:bCs/>
                <w:sz w:val="24"/>
                <w:szCs w:val="28"/>
                <w:lang w:eastAsia="zh-CN"/>
              </w:rPr>
            </w:pPr>
            <w:r>
              <w:rPr>
                <w:rFonts w:hint="eastAsia" w:ascii="Times New Roman" w:hAnsi="Times New Roman" w:cs="Times New Roman"/>
                <w:bCs/>
                <w:sz w:val="24"/>
                <w:szCs w:val="28"/>
                <w:lang w:eastAsia="zh-CN"/>
              </w:rPr>
              <w:t>（</w:t>
            </w:r>
            <w:r>
              <w:rPr>
                <w:rFonts w:hint="default" w:ascii="Times New Roman" w:hAnsi="Times New Roman" w:cs="Times New Roman"/>
                <w:b w:val="0"/>
                <w:bCs/>
                <w:sz w:val="24"/>
                <w:szCs w:val="24"/>
                <w:lang w:val="en-US" w:eastAsia="zh-CN"/>
              </w:rPr>
              <w:t>5套</w:t>
            </w:r>
            <w:r>
              <w:rPr>
                <w:rFonts w:hint="eastAsia" w:ascii="Times New Roman" w:hAnsi="Times New Roman" w:cs="Times New Roman"/>
                <w:b w:val="0"/>
                <w:bCs/>
                <w:sz w:val="24"/>
                <w:szCs w:val="24"/>
                <w:lang w:val="en-US" w:eastAsia="zh-CN"/>
              </w:rPr>
              <w:t>）</w:t>
            </w:r>
          </w:p>
        </w:tc>
        <w:tc>
          <w:tcPr>
            <w:tcW w:w="5604" w:type="dxa"/>
            <w:vAlign w:val="center"/>
          </w:tcPr>
          <w:p w14:paraId="5AB94AC5">
            <w:pPr>
              <w:keepNext w:val="0"/>
              <w:keepLines w:val="0"/>
              <w:pageBreakBefore w:val="0"/>
              <w:tabs>
                <w:tab w:val="left" w:pos="6915"/>
              </w:tabs>
              <w:kinsoku/>
              <w:wordWrap/>
              <w:overflowPunct/>
              <w:topLinePunct w:val="0"/>
              <w:autoSpaceDE/>
              <w:autoSpaceDN/>
              <w:bidi w:val="0"/>
              <w:adjustRightInd w:val="0"/>
              <w:snapToGrid w:val="0"/>
              <w:spacing w:line="300" w:lineRule="auto"/>
              <w:jc w:val="both"/>
              <w:textAlignment w:val="auto"/>
              <w:rPr>
                <w:rFonts w:hint="default" w:ascii="Times New Roman" w:hAnsi="Times New Roman" w:cs="Times New Roman"/>
                <w:b/>
                <w:sz w:val="24"/>
                <w:szCs w:val="24"/>
              </w:rPr>
            </w:pPr>
            <w:r>
              <w:rPr>
                <w:rFonts w:hint="default" w:ascii="Times New Roman" w:hAnsi="Times New Roman" w:cs="Times New Roman"/>
                <w:b/>
                <w:sz w:val="24"/>
                <w:szCs w:val="24"/>
              </w:rPr>
              <w:t>规格和技术参数：</w:t>
            </w:r>
          </w:p>
          <w:p w14:paraId="4D32AFE6">
            <w:pPr>
              <w:keepNext w:val="0"/>
              <w:keepLines w:val="0"/>
              <w:pageBreakBefore w:val="0"/>
              <w:kinsoku/>
              <w:wordWrap/>
              <w:overflowPunct/>
              <w:topLinePunct w:val="0"/>
              <w:autoSpaceDE/>
              <w:autoSpaceDN/>
              <w:bidi w:val="0"/>
              <w:adjustRightInd/>
              <w:snapToGrid w:val="0"/>
              <w:spacing w:line="300" w:lineRule="auto"/>
              <w:jc w:val="both"/>
              <w:textAlignment w:val="auto"/>
              <w:rPr>
                <w:rFonts w:hint="eastAsia" w:eastAsiaTheme="minorEastAsia"/>
                <w:bCs/>
                <w:sz w:val="24"/>
                <w:szCs w:val="28"/>
                <w:lang w:eastAsia="zh-CN"/>
              </w:rPr>
            </w:pPr>
            <w:r>
              <w:rPr>
                <w:rFonts w:hint="default" w:ascii="Times New Roman" w:hAnsi="Times New Roman" w:cs="Times New Roman"/>
                <w:bCs/>
                <w:sz w:val="24"/>
                <w:szCs w:val="28"/>
              </w:rPr>
              <w:t>BPM电子读出系统用于对合肥光源光束线上光位置探测器产生的弱电流进行检测，转换成光束位置信号，每套设备的硬件集成在一个小机箱中，主要包括电源、通讯控制、放大器、接口板、ADC模块等。</w:t>
            </w:r>
            <w:r>
              <w:rPr>
                <w:rFonts w:hint="eastAsia"/>
                <w:bCs/>
                <w:sz w:val="24"/>
                <w:szCs w:val="28"/>
              </w:rPr>
              <w:t>每套系统具体参数指标要求如下：</w:t>
            </w:r>
          </w:p>
          <w:p w14:paraId="00060674">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bookmarkStart w:id="0" w:name="OLE_LINK13"/>
            <w:bookmarkStart w:id="1" w:name="OLE_LINK14"/>
            <w:r>
              <w:rPr>
                <w:rFonts w:hint="default" w:ascii="Times New Roman" w:hAnsi="Times New Roman" w:eastAsia="宋体" w:cs="Times New Roman"/>
                <w:bCs/>
                <w:sz w:val="24"/>
                <w:szCs w:val="28"/>
              </w:rPr>
              <w:t>四个独立的I-V转换通道</w:t>
            </w:r>
          </w:p>
          <w:p w14:paraId="0232493D">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动态范围±1nA至±1mA，7档量程，每个量程对应-10V~+10V</w:t>
            </w:r>
          </w:p>
          <w:p w14:paraId="5E306C5F">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模拟带宽nA档</w:t>
            </w:r>
            <w:bookmarkStart w:id="2" w:name="OLE_LINK15"/>
            <w:bookmarkStart w:id="3" w:name="OLE_LINK16"/>
            <w:r>
              <w:rPr>
                <w:rFonts w:hint="eastAsia" w:ascii="等线" w:hAnsi="等线" w:eastAsia="等线" w:cs="等线"/>
                <w:bCs/>
                <w:sz w:val="24"/>
                <w:szCs w:val="28"/>
              </w:rPr>
              <w:t>≥</w:t>
            </w:r>
            <w:bookmarkEnd w:id="2"/>
            <w:bookmarkEnd w:id="3"/>
            <w:r>
              <w:rPr>
                <w:rFonts w:hint="default" w:ascii="Times New Roman" w:hAnsi="Times New Roman" w:eastAsia="宋体" w:cs="Times New Roman"/>
                <w:bCs/>
                <w:sz w:val="24"/>
                <w:szCs w:val="28"/>
              </w:rPr>
              <w:t>0.2 kHz 、mA档</w:t>
            </w:r>
            <w:r>
              <w:rPr>
                <w:rFonts w:hint="eastAsia" w:ascii="等线" w:hAnsi="等线" w:eastAsia="等线" w:cs="等线"/>
                <w:bCs/>
                <w:sz w:val="24"/>
                <w:szCs w:val="28"/>
              </w:rPr>
              <w:t>≥</w:t>
            </w:r>
            <w:r>
              <w:rPr>
                <w:rFonts w:hint="default" w:ascii="Times New Roman" w:hAnsi="Times New Roman" w:eastAsia="宋体" w:cs="Times New Roman"/>
                <w:bCs/>
                <w:sz w:val="24"/>
                <w:szCs w:val="28"/>
              </w:rPr>
              <w:t>10kHz，采样率≥100kHz，采样分辨率</w:t>
            </w:r>
            <w:r>
              <w:rPr>
                <w:rFonts w:hint="eastAsia" w:ascii="等线" w:hAnsi="等线" w:eastAsia="等线" w:cs="等线"/>
                <w:bCs/>
                <w:sz w:val="24"/>
                <w:szCs w:val="28"/>
              </w:rPr>
              <w:t>≥</w:t>
            </w:r>
            <w:r>
              <w:rPr>
                <w:rFonts w:hint="default" w:ascii="Times New Roman" w:hAnsi="Times New Roman" w:eastAsia="宋体" w:cs="Times New Roman"/>
                <w:bCs/>
                <w:sz w:val="24"/>
                <w:szCs w:val="28"/>
              </w:rPr>
              <w:t>16Bit，输入本底噪声&lt;10mVpp</w:t>
            </w:r>
          </w:p>
          <w:p w14:paraId="02BA5D63">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输入阻抗&lt;40Ω</w:t>
            </w:r>
          </w:p>
          <w:p w14:paraId="429D5D4E">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监控输出：四路DAC，16位，±10V;</w:t>
            </w:r>
          </w:p>
          <w:p w14:paraId="2A1157F9">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低压偏置电源：-20V ~ +20V/输出电流20mA （0.1V调节步长，纹波Vpp&lt;1%）</w:t>
            </w:r>
          </w:p>
          <w:p w14:paraId="7668C5BE">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bookmarkStart w:id="4" w:name="OLE_LINK1"/>
            <w:bookmarkStart w:id="5" w:name="OLE_LINK2"/>
            <w:r>
              <w:rPr>
                <w:rFonts w:hint="default" w:ascii="Times New Roman" w:hAnsi="Times New Roman" w:eastAsia="宋体" w:cs="Times New Roman"/>
                <w:bCs/>
                <w:sz w:val="24"/>
                <w:szCs w:val="28"/>
              </w:rPr>
              <w:t>高压偏置电源</w:t>
            </w:r>
            <w:bookmarkEnd w:id="4"/>
            <w:bookmarkEnd w:id="5"/>
            <w:r>
              <w:rPr>
                <w:rFonts w:hint="default" w:ascii="Times New Roman" w:hAnsi="Times New Roman" w:eastAsia="宋体" w:cs="Times New Roman"/>
                <w:bCs/>
                <w:sz w:val="24"/>
                <w:szCs w:val="28"/>
              </w:rPr>
              <w:t>：-2kV ~ +2kV/输出电流2mA （1.0V调节步长，纹波Vpp&lt;10%）</w:t>
            </w:r>
          </w:p>
          <w:p w14:paraId="2C770582">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千兆以太网通讯接口</w:t>
            </w:r>
          </w:p>
          <w:p w14:paraId="6D1B0CE3">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bookmarkStart w:id="6" w:name="_Hlk217466278"/>
            <w:r>
              <w:rPr>
                <w:rFonts w:hint="default" w:ascii="Times New Roman" w:hAnsi="Times New Roman" w:eastAsia="宋体" w:cs="Times New Roman"/>
                <w:bCs/>
                <w:sz w:val="24"/>
                <w:szCs w:val="28"/>
              </w:rPr>
              <w:t>提供</w:t>
            </w:r>
            <w:bookmarkStart w:id="7" w:name="_Hlk217466485"/>
            <w:r>
              <w:rPr>
                <w:rFonts w:hint="default" w:ascii="Times New Roman" w:hAnsi="Times New Roman" w:eastAsia="宋体" w:cs="Times New Roman"/>
                <w:bCs/>
                <w:sz w:val="24"/>
                <w:szCs w:val="28"/>
              </w:rPr>
              <w:t>EPICS软件平台的IOC应用</w:t>
            </w:r>
            <w:bookmarkEnd w:id="7"/>
          </w:p>
          <w:bookmarkEnd w:id="6"/>
          <w:p w14:paraId="41CA574D">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触发（外触发、内触发）同步采样：同步精度&lt;100ns</w:t>
            </w:r>
          </w:p>
          <w:p w14:paraId="3BFEB1B4">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Cs/>
                <w:sz w:val="24"/>
                <w:szCs w:val="28"/>
              </w:rPr>
            </w:pPr>
            <w:r>
              <w:rPr>
                <w:rFonts w:hint="default" w:ascii="Times New Roman" w:hAnsi="Times New Roman" w:eastAsia="宋体" w:cs="Times New Roman"/>
                <w:bCs/>
                <w:sz w:val="24"/>
                <w:szCs w:val="28"/>
              </w:rPr>
              <w:t xml:space="preserve">全量程线性误差 </w:t>
            </w:r>
            <w:r>
              <w:rPr>
                <w:rFonts w:hint="eastAsia" w:ascii="等线" w:hAnsi="等线" w:eastAsia="等线" w:cs="等线"/>
                <w:bCs/>
                <w:sz w:val="24"/>
                <w:szCs w:val="28"/>
              </w:rPr>
              <w:t xml:space="preserve">≤ </w:t>
            </w:r>
            <w:r>
              <w:rPr>
                <w:rFonts w:hint="default" w:ascii="Times New Roman" w:hAnsi="Times New Roman" w:eastAsia="宋体" w:cs="Times New Roman"/>
                <w:bCs/>
                <w:sz w:val="24"/>
                <w:szCs w:val="28"/>
              </w:rPr>
              <w:t>±0.3% FS（各档位自身满量程值）</w:t>
            </w:r>
          </w:p>
          <w:p w14:paraId="1668A590">
            <w:pPr>
              <w:keepNext w:val="0"/>
              <w:keepLines w:val="0"/>
              <w:pageBreakBefore w:val="0"/>
              <w:widowControl/>
              <w:numPr>
                <w:ilvl w:val="0"/>
                <w:numId w:val="1"/>
              </w:numPr>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sz w:val="24"/>
                <w:szCs w:val="28"/>
              </w:rPr>
            </w:pPr>
            <w:r>
              <w:rPr>
                <w:rFonts w:hint="default" w:ascii="Times New Roman" w:hAnsi="Times New Roman" w:eastAsia="宋体" w:cs="Times New Roman"/>
                <w:b w:val="0"/>
                <w:bCs/>
                <w:sz w:val="24"/>
                <w:szCs w:val="28"/>
              </w:rPr>
              <w:t xml:space="preserve">电流测量精度： 1μA~1mA档测量相对误差 </w:t>
            </w:r>
            <w:r>
              <w:rPr>
                <w:rFonts w:hint="eastAsia" w:ascii="等线" w:hAnsi="等线" w:eastAsia="等线" w:cs="等线"/>
                <w:b w:val="0"/>
                <w:bCs/>
                <w:sz w:val="24"/>
                <w:szCs w:val="28"/>
              </w:rPr>
              <w:t>≤</w:t>
            </w:r>
            <w:r>
              <w:rPr>
                <w:rFonts w:hint="default" w:ascii="Times New Roman" w:hAnsi="Times New Roman" w:eastAsia="宋体" w:cs="Times New Roman"/>
                <w:b w:val="0"/>
                <w:bCs/>
                <w:sz w:val="24"/>
                <w:szCs w:val="28"/>
              </w:rPr>
              <w:t xml:space="preserve">±0.5% FS（各档位自身满量程值）；1nA~1μA档测量相对误差 </w:t>
            </w:r>
            <w:bookmarkStart w:id="8" w:name="OLE_LINK17"/>
            <w:bookmarkStart w:id="9" w:name="OLE_LINK18"/>
            <w:r>
              <w:rPr>
                <w:rFonts w:hint="eastAsia" w:ascii="等线" w:hAnsi="等线" w:eastAsia="等线" w:cs="等线"/>
                <w:b w:val="0"/>
                <w:bCs/>
                <w:sz w:val="24"/>
                <w:szCs w:val="28"/>
              </w:rPr>
              <w:t>≤</w:t>
            </w:r>
            <w:bookmarkEnd w:id="8"/>
            <w:bookmarkEnd w:id="9"/>
            <w:r>
              <w:rPr>
                <w:rFonts w:hint="default" w:ascii="Times New Roman" w:hAnsi="Times New Roman" w:eastAsia="宋体" w:cs="Times New Roman"/>
                <w:b w:val="0"/>
                <w:bCs/>
                <w:sz w:val="24"/>
                <w:szCs w:val="28"/>
              </w:rPr>
              <w:t>±1.0% FS</w:t>
            </w:r>
            <w:bookmarkEnd w:id="0"/>
            <w:bookmarkEnd w:id="1"/>
            <w:r>
              <w:rPr>
                <w:rFonts w:hint="default" w:ascii="Times New Roman" w:hAnsi="Times New Roman" w:eastAsia="宋体" w:cs="Times New Roman"/>
                <w:b w:val="0"/>
                <w:bCs/>
                <w:sz w:val="24"/>
                <w:szCs w:val="28"/>
              </w:rPr>
              <w:t>（各档位自身满量程值）</w:t>
            </w:r>
          </w:p>
          <w:p w14:paraId="3B7A828E">
            <w:pPr>
              <w:keepNext w:val="0"/>
              <w:keepLines w:val="0"/>
              <w:pageBreakBefore w:val="0"/>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sz w:val="24"/>
                <w:szCs w:val="28"/>
              </w:rPr>
            </w:pPr>
            <w:r>
              <w:rPr>
                <w:rFonts w:hint="default" w:ascii="Times New Roman" w:hAnsi="Times New Roman" w:cs="Times New Roman"/>
                <w:b/>
                <w:sz w:val="24"/>
                <w:szCs w:val="28"/>
              </w:rPr>
              <w:t>供货商须提供的技术资料：</w:t>
            </w:r>
          </w:p>
          <w:p w14:paraId="2CFF31FA">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default" w:ascii="Times New Roman" w:hAnsi="Times New Roman" w:cs="Times New Roman"/>
                <w:b w:val="0"/>
                <w:bCs/>
                <w:sz w:val="24"/>
                <w:szCs w:val="28"/>
              </w:rPr>
            </w:pPr>
            <w:r>
              <w:rPr>
                <w:rFonts w:hint="default" w:ascii="Times New Roman" w:hAnsi="Times New Roman" w:cs="Times New Roman"/>
                <w:b w:val="0"/>
                <w:bCs/>
                <w:sz w:val="24"/>
                <w:szCs w:val="28"/>
              </w:rPr>
              <w:t>系统框图和电子版原理图；</w:t>
            </w:r>
          </w:p>
          <w:p w14:paraId="399E1919">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default" w:ascii="Times New Roman" w:hAnsi="Times New Roman" w:cs="Times New Roman"/>
                <w:b w:val="0"/>
                <w:bCs/>
                <w:sz w:val="24"/>
                <w:szCs w:val="28"/>
              </w:rPr>
            </w:pPr>
            <w:r>
              <w:rPr>
                <w:rFonts w:hint="default" w:ascii="Times New Roman" w:hAnsi="Times New Roman" w:cs="Times New Roman"/>
                <w:b w:val="0"/>
                <w:bCs/>
                <w:sz w:val="24"/>
                <w:szCs w:val="28"/>
              </w:rPr>
              <w:t>各接头的管脚电气定义、物理意义；</w:t>
            </w:r>
          </w:p>
          <w:p w14:paraId="5862509D">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default" w:ascii="Times New Roman" w:hAnsi="Times New Roman" w:cs="Times New Roman"/>
                <w:b w:val="0"/>
                <w:bCs/>
                <w:sz w:val="24"/>
                <w:szCs w:val="28"/>
              </w:rPr>
            </w:pPr>
            <w:r>
              <w:rPr>
                <w:rFonts w:hint="default" w:ascii="Times New Roman" w:hAnsi="Times New Roman" w:cs="Times New Roman"/>
                <w:b w:val="0"/>
                <w:bCs/>
                <w:sz w:val="24"/>
                <w:szCs w:val="28"/>
              </w:rPr>
              <w:t>安装、校准和配置指南、使用手册；</w:t>
            </w:r>
          </w:p>
          <w:p w14:paraId="6603E301">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eastAsia"/>
                <w:bCs/>
                <w:sz w:val="24"/>
                <w:szCs w:val="24"/>
              </w:rPr>
            </w:pPr>
            <w:r>
              <w:rPr>
                <w:rFonts w:hint="default" w:ascii="Times New Roman" w:hAnsi="Times New Roman" w:cs="Times New Roman"/>
                <w:b w:val="0"/>
                <w:bCs/>
                <w:sz w:val="24"/>
                <w:szCs w:val="28"/>
              </w:rPr>
              <w:t>备品清单。</w:t>
            </w:r>
          </w:p>
        </w:tc>
        <w:tc>
          <w:tcPr>
            <w:tcW w:w="1227" w:type="dxa"/>
            <w:vAlign w:val="center"/>
          </w:tcPr>
          <w:p w14:paraId="29DFE29F">
            <w:pPr>
              <w:spacing w:line="240" w:lineRule="atLeast"/>
              <w:jc w:val="center"/>
              <w:rPr>
                <w:sz w:val="24"/>
                <w:szCs w:val="24"/>
              </w:rPr>
            </w:pPr>
          </w:p>
        </w:tc>
        <w:tc>
          <w:tcPr>
            <w:tcW w:w="1000" w:type="dxa"/>
            <w:vAlign w:val="center"/>
          </w:tcPr>
          <w:p w14:paraId="76B2839D">
            <w:pPr>
              <w:spacing w:line="240" w:lineRule="atLeast"/>
              <w:jc w:val="center"/>
              <w:rPr>
                <w:sz w:val="24"/>
                <w:szCs w:val="24"/>
              </w:rPr>
            </w:pPr>
          </w:p>
        </w:tc>
      </w:tr>
      <w:tr w14:paraId="6763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05" w:type="dxa"/>
            <w:vAlign w:val="center"/>
          </w:tcPr>
          <w:p w14:paraId="711317D4">
            <w:pPr>
              <w:spacing w:line="240" w:lineRule="atLeast"/>
              <w:jc w:val="center"/>
              <w:rPr>
                <w:sz w:val="24"/>
                <w:szCs w:val="24"/>
              </w:rPr>
            </w:pPr>
            <w:r>
              <w:rPr>
                <w:sz w:val="24"/>
                <w:szCs w:val="24"/>
              </w:rPr>
              <w:t>2</w:t>
            </w: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14:paraId="124D5A23">
            <w:pPr>
              <w:widowControl/>
              <w:spacing w:line="240" w:lineRule="atLeast"/>
              <w:jc w:val="center"/>
              <w:rPr>
                <w:sz w:val="24"/>
                <w:szCs w:val="24"/>
              </w:rPr>
            </w:pPr>
            <w:r>
              <w:rPr>
                <w:rFonts w:hint="eastAsia"/>
                <w:sz w:val="24"/>
                <w:szCs w:val="24"/>
              </w:rPr>
              <w:t>商务条款</w:t>
            </w:r>
          </w:p>
        </w:tc>
        <w:tc>
          <w:tcPr>
            <w:tcW w:w="5604" w:type="dxa"/>
            <w:tcBorders>
              <w:top w:val="single" w:color="auto" w:sz="4" w:space="0"/>
              <w:left w:val="nil"/>
              <w:bottom w:val="single" w:color="auto" w:sz="4" w:space="0"/>
              <w:right w:val="single" w:color="auto" w:sz="4" w:space="0"/>
            </w:tcBorders>
            <w:shd w:val="clear" w:color="auto" w:fill="auto"/>
            <w:vAlign w:val="center"/>
          </w:tcPr>
          <w:p w14:paraId="7D42B4F7">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4"/>
              </w:rPr>
              <w:t>交货期：</w:t>
            </w:r>
            <w:r>
              <w:rPr>
                <w:rFonts w:hint="default" w:ascii="Times New Roman" w:hAnsi="Times New Roman" w:cs="Times New Roman"/>
                <w:sz w:val="24"/>
                <w:szCs w:val="24"/>
              </w:rPr>
              <w:t>合同</w:t>
            </w:r>
            <w:r>
              <w:rPr>
                <w:rFonts w:hint="default" w:ascii="Times New Roman" w:hAnsi="Times New Roman" w:cs="Times New Roman"/>
                <w:sz w:val="24"/>
                <w:szCs w:val="24"/>
                <w:lang w:val="en-US" w:eastAsia="zh-CN"/>
              </w:rPr>
              <w:t>签订</w:t>
            </w:r>
            <w:r>
              <w:rPr>
                <w:rFonts w:hint="default" w:ascii="Times New Roman" w:hAnsi="Times New Roman" w:cs="Times New Roman"/>
                <w:sz w:val="24"/>
                <w:szCs w:val="24"/>
              </w:rPr>
              <w:t>后</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个月</w:t>
            </w:r>
            <w:r>
              <w:rPr>
                <w:rFonts w:hint="default" w:ascii="Times New Roman" w:hAnsi="Times New Roman" w:cs="Times New Roman"/>
                <w:sz w:val="24"/>
                <w:szCs w:val="24"/>
                <w:lang w:val="en-US" w:eastAsia="zh-CN"/>
              </w:rPr>
              <w:t>内</w:t>
            </w:r>
            <w:r>
              <w:rPr>
                <w:rFonts w:hint="eastAsia" w:ascii="Times New Roman" w:hAnsi="Times New Roman" w:cs="Times New Roman"/>
                <w:sz w:val="24"/>
                <w:szCs w:val="24"/>
                <w:lang w:val="en-US" w:eastAsia="zh-CN"/>
              </w:rPr>
              <w:t>完成全部交货</w:t>
            </w:r>
          </w:p>
          <w:p w14:paraId="0EACCE23">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交付进度</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一</w:t>
            </w:r>
            <w:r>
              <w:rPr>
                <w:rFonts w:hint="default" w:ascii="Times New Roman" w:hAnsi="Times New Roman" w:cs="Times New Roman"/>
                <w:sz w:val="24"/>
                <w:szCs w:val="24"/>
              </w:rPr>
              <w:t>次性交付</w:t>
            </w:r>
          </w:p>
          <w:p w14:paraId="3F86326E">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rPr>
              <w:t>付款方式</w:t>
            </w:r>
            <w:r>
              <w:rPr>
                <w:rFonts w:hint="default" w:ascii="Times New Roman" w:hAnsi="Times New Roman" w:cs="Times New Roman"/>
                <w:sz w:val="24"/>
                <w:szCs w:val="24"/>
              </w:rPr>
              <w:t>：合同</w:t>
            </w:r>
            <w:r>
              <w:rPr>
                <w:rFonts w:hint="default" w:ascii="Times New Roman" w:hAnsi="Times New Roman" w:cs="Times New Roman"/>
                <w:sz w:val="24"/>
                <w:szCs w:val="24"/>
                <w:lang w:val="en-US" w:eastAsia="zh-CN"/>
              </w:rPr>
              <w:t>签订</w:t>
            </w:r>
            <w:r>
              <w:rPr>
                <w:rFonts w:hint="default" w:ascii="Times New Roman" w:hAnsi="Times New Roman" w:cs="Times New Roman"/>
                <w:sz w:val="24"/>
                <w:szCs w:val="24"/>
              </w:rPr>
              <w:t>后预付</w:t>
            </w:r>
            <w:r>
              <w:rPr>
                <w:rFonts w:hint="default" w:ascii="Times New Roman" w:hAnsi="Times New Roman" w:cs="Times New Roman"/>
                <w:sz w:val="24"/>
                <w:szCs w:val="24"/>
                <w:lang w:val="en-US" w:eastAsia="zh-CN"/>
              </w:rPr>
              <w:t>合同总金额的4</w:t>
            </w:r>
            <w:r>
              <w:rPr>
                <w:rFonts w:hint="default" w:ascii="Times New Roman" w:hAnsi="Times New Roman" w:cs="Times New Roman"/>
                <w:sz w:val="24"/>
                <w:szCs w:val="24"/>
              </w:rPr>
              <w:t>0%，</w:t>
            </w:r>
            <w:r>
              <w:rPr>
                <w:rFonts w:hint="default" w:ascii="Times New Roman" w:hAnsi="Times New Roman" w:cs="Times New Roman"/>
                <w:sz w:val="24"/>
                <w:szCs w:val="24"/>
                <w:lang w:val="en-US" w:eastAsia="zh-CN"/>
              </w:rPr>
              <w:t>验收</w:t>
            </w:r>
            <w:r>
              <w:rPr>
                <w:rFonts w:hint="default" w:ascii="Times New Roman" w:hAnsi="Times New Roman" w:cs="Times New Roman"/>
                <w:sz w:val="24"/>
                <w:szCs w:val="24"/>
              </w:rPr>
              <w:t>合格</w:t>
            </w:r>
            <w:r>
              <w:rPr>
                <w:rFonts w:hint="default" w:ascii="Times New Roman" w:hAnsi="Times New Roman" w:cs="Times New Roman"/>
                <w:sz w:val="24"/>
                <w:szCs w:val="24"/>
                <w:lang w:val="en-US" w:eastAsia="zh-CN"/>
              </w:rPr>
              <w:t>并</w:t>
            </w:r>
            <w:r>
              <w:rPr>
                <w:rFonts w:hint="default" w:ascii="Times New Roman" w:hAnsi="Times New Roman" w:cs="Times New Roman"/>
                <w:sz w:val="24"/>
                <w:szCs w:val="24"/>
              </w:rPr>
              <w:t>到货</w:t>
            </w:r>
            <w:r>
              <w:rPr>
                <w:rFonts w:hint="default" w:ascii="Times New Roman" w:hAnsi="Times New Roman" w:cs="Times New Roman"/>
                <w:sz w:val="24"/>
                <w:szCs w:val="24"/>
                <w:lang w:val="en-US" w:eastAsia="zh-CN"/>
              </w:rPr>
              <w:t>付</w:t>
            </w:r>
            <w:r>
              <w:rPr>
                <w:rFonts w:hint="default" w:ascii="Times New Roman" w:hAnsi="Times New Roman" w:cs="Times New Roman"/>
                <w:sz w:val="24"/>
                <w:szCs w:val="24"/>
              </w:rPr>
              <w:t>60%</w:t>
            </w:r>
            <w:r>
              <w:rPr>
                <w:rFonts w:hint="default" w:ascii="Times New Roman" w:hAnsi="Times New Roman" w:cs="Times New Roman"/>
                <w:sz w:val="24"/>
                <w:szCs w:val="24"/>
                <w:lang w:eastAsia="zh-CN"/>
              </w:rPr>
              <w:t>尾</w:t>
            </w:r>
            <w:r>
              <w:rPr>
                <w:rFonts w:hint="default" w:ascii="Times New Roman" w:hAnsi="Times New Roman" w:cs="Times New Roman"/>
                <w:sz w:val="24"/>
                <w:szCs w:val="24"/>
              </w:rPr>
              <w:t>款</w:t>
            </w:r>
            <w:r>
              <w:rPr>
                <w:rFonts w:hint="default" w:ascii="Times New Roman" w:hAnsi="Times New Roman" w:cs="Times New Roman"/>
                <w:sz w:val="24"/>
                <w:szCs w:val="24"/>
                <w:lang w:eastAsia="zh-CN"/>
              </w:rPr>
              <w:t>。</w:t>
            </w:r>
          </w:p>
          <w:p w14:paraId="73EC98C8">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验收指标及验收要求：</w:t>
            </w:r>
            <w:r>
              <w:rPr>
                <w:rFonts w:hint="default" w:ascii="Times New Roman" w:hAnsi="Times New Roman" w:cs="Times New Roman"/>
                <w:sz w:val="24"/>
                <w:szCs w:val="24"/>
              </w:rPr>
              <w:t xml:space="preserve"> </w:t>
            </w:r>
          </w:p>
          <w:p w14:paraId="0B6FC9ED">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bCs/>
                <w:sz w:val="24"/>
                <w:szCs w:val="28"/>
              </w:rPr>
            </w:pPr>
            <w:r>
              <w:rPr>
                <w:rFonts w:hint="eastAsia"/>
                <w:bCs/>
                <w:sz w:val="24"/>
                <w:szCs w:val="28"/>
              </w:rPr>
              <w:t>1.</w:t>
            </w:r>
            <w:r>
              <w:rPr>
                <w:bCs/>
                <w:sz w:val="24"/>
                <w:szCs w:val="28"/>
              </w:rPr>
              <w:t xml:space="preserve"> </w:t>
            </w:r>
            <w:r>
              <w:rPr>
                <w:rFonts w:hint="eastAsia"/>
                <w:bCs/>
                <w:sz w:val="24"/>
                <w:szCs w:val="28"/>
              </w:rPr>
              <w:t>供应商提供采购人认可的测试大纲，根据测试大纲进行出厂检测，报告需包含技术要求中的所有指标。</w:t>
            </w:r>
          </w:p>
          <w:p w14:paraId="50D82F10">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eastAsia"/>
                <w:bCs/>
                <w:sz w:val="24"/>
                <w:szCs w:val="28"/>
              </w:rPr>
            </w:pPr>
            <w:r>
              <w:rPr>
                <w:rFonts w:hint="eastAsia"/>
                <w:bCs/>
                <w:sz w:val="24"/>
                <w:szCs w:val="28"/>
              </w:rPr>
              <w:t>2.</w:t>
            </w:r>
            <w:r>
              <w:rPr>
                <w:bCs/>
                <w:sz w:val="24"/>
                <w:szCs w:val="28"/>
              </w:rPr>
              <w:t xml:space="preserve"> </w:t>
            </w:r>
            <w:r>
              <w:rPr>
                <w:rFonts w:hint="eastAsia"/>
                <w:bCs/>
                <w:sz w:val="24"/>
                <w:szCs w:val="28"/>
              </w:rPr>
              <w:t>现场验收，测试指标满足技术要求。</w:t>
            </w:r>
          </w:p>
          <w:p w14:paraId="03F2C97C">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eastAsia="宋体" w:cs="Times New Roman"/>
                <w:b/>
                <w:szCs w:val="21"/>
              </w:rPr>
            </w:pPr>
            <w:r>
              <w:rPr>
                <w:rFonts w:hint="default" w:ascii="Times New Roman" w:hAnsi="Times New Roman" w:eastAsia="宋体" w:cs="Times New Roman"/>
                <w:b/>
                <w:sz w:val="24"/>
                <w:szCs w:val="24"/>
              </w:rPr>
              <w:t>保修及售后服务：</w:t>
            </w:r>
            <w:r>
              <w:rPr>
                <w:rFonts w:hint="default" w:ascii="Times New Roman" w:hAnsi="Times New Roman" w:eastAsia="宋体" w:cs="Times New Roman"/>
                <w:bCs/>
                <w:sz w:val="24"/>
                <w:szCs w:val="28"/>
              </w:rPr>
              <w:t>质保期不少于3年，质保期内供应商负责免费更换或维修。供应商需配合BPM安装调试。</w:t>
            </w:r>
          </w:p>
          <w:p w14:paraId="5DDB6F4D">
            <w:pPr>
              <w:keepNext w:val="0"/>
              <w:keepLines w:val="0"/>
              <w:pageBreakBefore w:val="0"/>
              <w:widowControl w:val="0"/>
              <w:tabs>
                <w:tab w:val="left" w:pos="6915"/>
              </w:tabs>
              <w:kinsoku/>
              <w:wordWrap/>
              <w:overflowPunct/>
              <w:topLinePunct w:val="0"/>
              <w:autoSpaceDE/>
              <w:autoSpaceDN/>
              <w:bidi w:val="0"/>
              <w:adjustRightInd w:val="0"/>
              <w:snapToGrid w:val="0"/>
              <w:spacing w:line="300" w:lineRule="auto"/>
              <w:jc w:val="left"/>
              <w:textAlignment w:val="auto"/>
              <w:rPr>
                <w:rFonts w:hint="eastAsia"/>
                <w:kern w:val="0"/>
                <w:sz w:val="24"/>
                <w:szCs w:val="24"/>
              </w:rPr>
            </w:pPr>
            <w:r>
              <w:rPr>
                <w:rFonts w:hint="default" w:ascii="Times New Roman" w:hAnsi="Times New Roman" w:eastAsia="宋体" w:cs="Times New Roman"/>
                <w:b/>
                <w:sz w:val="24"/>
                <w:szCs w:val="24"/>
              </w:rPr>
              <w:t>其它：</w:t>
            </w:r>
            <w:r>
              <w:rPr>
                <w:rFonts w:hint="default" w:ascii="Times New Roman" w:hAnsi="Times New Roman" w:eastAsia="宋体" w:cs="Times New Roman"/>
                <w:bCs/>
                <w:sz w:val="24"/>
                <w:szCs w:val="28"/>
              </w:rPr>
              <w:t>中标</w:t>
            </w:r>
            <w:bookmarkStart w:id="10" w:name="OLE_LINK31"/>
            <w:bookmarkStart w:id="11" w:name="OLE_LINK32"/>
            <w:r>
              <w:rPr>
                <w:rFonts w:hint="default" w:ascii="Times New Roman" w:hAnsi="Times New Roman" w:eastAsia="宋体" w:cs="Times New Roman"/>
                <w:bCs/>
                <w:sz w:val="24"/>
                <w:szCs w:val="28"/>
              </w:rPr>
              <w:t>供应</w:t>
            </w:r>
            <w:bookmarkEnd w:id="10"/>
            <w:bookmarkEnd w:id="11"/>
            <w:r>
              <w:rPr>
                <w:rFonts w:hint="default" w:ascii="Times New Roman" w:hAnsi="Times New Roman" w:eastAsia="宋体" w:cs="Times New Roman"/>
                <w:bCs/>
                <w:sz w:val="24"/>
                <w:szCs w:val="28"/>
              </w:rPr>
              <w:t>商在询价结束后7天内、合同签订之前，免费提供样机进行测试验证，样机指标需要满足规格和参数技术要求。</w:t>
            </w:r>
          </w:p>
        </w:tc>
        <w:tc>
          <w:tcPr>
            <w:tcW w:w="1227" w:type="dxa"/>
            <w:vAlign w:val="center"/>
          </w:tcPr>
          <w:p w14:paraId="6EE84714">
            <w:pPr>
              <w:spacing w:line="240" w:lineRule="atLeast"/>
              <w:jc w:val="center"/>
              <w:rPr>
                <w:sz w:val="24"/>
                <w:szCs w:val="24"/>
              </w:rPr>
            </w:pPr>
          </w:p>
        </w:tc>
        <w:tc>
          <w:tcPr>
            <w:tcW w:w="1000" w:type="dxa"/>
            <w:vAlign w:val="center"/>
          </w:tcPr>
          <w:p w14:paraId="4E9B639C">
            <w:pPr>
              <w:spacing w:line="240" w:lineRule="atLeast"/>
              <w:jc w:val="center"/>
              <w:rPr>
                <w:sz w:val="24"/>
                <w:szCs w:val="24"/>
              </w:rPr>
            </w:pPr>
          </w:p>
        </w:tc>
      </w:tr>
    </w:tbl>
    <w:p w14:paraId="6455552B">
      <w:pPr>
        <w:ind w:right="840"/>
        <w:rPr>
          <w:sz w:val="22"/>
          <w:szCs w:val="22"/>
        </w:rPr>
      </w:pPr>
    </w:p>
    <w:p w14:paraId="473EE6D2">
      <w:pPr>
        <w:ind w:right="840" w:firstLine="4620" w:firstLineChars="2100"/>
        <w:rPr>
          <w:sz w:val="22"/>
          <w:szCs w:val="22"/>
        </w:rPr>
      </w:pPr>
    </w:p>
    <w:p w14:paraId="6CCA392F">
      <w:pPr>
        <w:ind w:right="840" w:firstLine="4620" w:firstLineChars="2100"/>
        <w:rPr>
          <w:sz w:val="22"/>
          <w:szCs w:val="22"/>
        </w:rPr>
      </w:pPr>
    </w:p>
    <w:p w14:paraId="6484E376">
      <w:pPr>
        <w:ind w:right="840" w:firstLine="5040" w:firstLineChars="2100"/>
        <w:rPr>
          <w:sz w:val="24"/>
          <w:szCs w:val="24"/>
        </w:rPr>
      </w:pPr>
      <w:r>
        <w:rPr>
          <w:sz w:val="24"/>
          <w:szCs w:val="24"/>
        </w:rPr>
        <w:t>公司名称</w:t>
      </w:r>
      <w:r>
        <w:rPr>
          <w:rFonts w:hint="eastAsia"/>
          <w:sz w:val="24"/>
          <w:szCs w:val="24"/>
        </w:rPr>
        <w:t>（盖章）：</w:t>
      </w:r>
    </w:p>
    <w:p w14:paraId="1425069F">
      <w:pPr>
        <w:ind w:right="840"/>
        <w:jc w:val="center"/>
        <w:rPr>
          <w:sz w:val="24"/>
          <w:szCs w:val="24"/>
        </w:rPr>
      </w:pPr>
      <w:r>
        <w:rPr>
          <w:rFonts w:hint="eastAsia"/>
          <w:sz w:val="24"/>
          <w:szCs w:val="24"/>
        </w:rPr>
        <w:t xml:space="preserve"> </w:t>
      </w:r>
      <w:r>
        <w:rPr>
          <w:sz w:val="24"/>
          <w:szCs w:val="24"/>
        </w:rPr>
        <w:t xml:space="preserve">                            日期</w:t>
      </w:r>
      <w:r>
        <w:rPr>
          <w:rFonts w:hint="eastAsia"/>
          <w:sz w:val="24"/>
          <w:szCs w:val="24"/>
        </w:rPr>
        <w:t>：</w:t>
      </w:r>
    </w:p>
    <w:p w14:paraId="7CAF3A71"/>
    <w:p w14:paraId="5E7617FD"/>
    <w:p w14:paraId="77E90963"/>
    <w:p w14:paraId="3949D5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D24616"/>
    <w:multiLevelType w:val="multilevel"/>
    <w:tmpl w:val="19D24616"/>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51DF29C5"/>
    <w:multiLevelType w:val="multilevel"/>
    <w:tmpl w:val="51DF29C5"/>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420"/>
        </w:tabs>
        <w:ind w:left="840" w:hanging="420"/>
      </w:pPr>
    </w:lvl>
    <w:lvl w:ilvl="2" w:tentative="0">
      <w:start w:val="1"/>
      <w:numFmt w:val="lowerRoman"/>
      <w:lvlText w:val="%3."/>
      <w:lvlJc w:val="right"/>
      <w:pPr>
        <w:tabs>
          <w:tab w:val="left" w:pos="-420"/>
        </w:tabs>
        <w:ind w:left="1260" w:hanging="420"/>
      </w:pPr>
    </w:lvl>
    <w:lvl w:ilvl="3" w:tentative="0">
      <w:start w:val="1"/>
      <w:numFmt w:val="decimal"/>
      <w:lvlText w:val="%4."/>
      <w:lvlJc w:val="left"/>
      <w:pPr>
        <w:tabs>
          <w:tab w:val="left" w:pos="-420"/>
        </w:tabs>
        <w:ind w:left="1680" w:hanging="420"/>
      </w:pPr>
    </w:lvl>
    <w:lvl w:ilvl="4" w:tentative="0">
      <w:start w:val="1"/>
      <w:numFmt w:val="lowerLetter"/>
      <w:lvlText w:val="%5)"/>
      <w:lvlJc w:val="left"/>
      <w:pPr>
        <w:tabs>
          <w:tab w:val="left" w:pos="-420"/>
        </w:tabs>
        <w:ind w:left="2100" w:hanging="420"/>
      </w:pPr>
    </w:lvl>
    <w:lvl w:ilvl="5" w:tentative="0">
      <w:start w:val="1"/>
      <w:numFmt w:val="lowerRoman"/>
      <w:lvlText w:val="%6."/>
      <w:lvlJc w:val="right"/>
      <w:pPr>
        <w:tabs>
          <w:tab w:val="left" w:pos="-420"/>
        </w:tabs>
        <w:ind w:left="2520" w:hanging="420"/>
      </w:pPr>
    </w:lvl>
    <w:lvl w:ilvl="6" w:tentative="0">
      <w:start w:val="1"/>
      <w:numFmt w:val="decimal"/>
      <w:lvlText w:val="%7."/>
      <w:lvlJc w:val="left"/>
      <w:pPr>
        <w:tabs>
          <w:tab w:val="left" w:pos="-420"/>
        </w:tabs>
        <w:ind w:left="2940" w:hanging="420"/>
      </w:pPr>
    </w:lvl>
    <w:lvl w:ilvl="7" w:tentative="0">
      <w:start w:val="1"/>
      <w:numFmt w:val="lowerLetter"/>
      <w:lvlText w:val="%8)"/>
      <w:lvlJc w:val="left"/>
      <w:pPr>
        <w:tabs>
          <w:tab w:val="left" w:pos="-420"/>
        </w:tabs>
        <w:ind w:left="3360" w:hanging="420"/>
      </w:pPr>
    </w:lvl>
    <w:lvl w:ilvl="8" w:tentative="0">
      <w:start w:val="1"/>
      <w:numFmt w:val="lowerRoman"/>
      <w:lvlText w:val="%9."/>
      <w:lvlJc w:val="right"/>
      <w:pPr>
        <w:tabs>
          <w:tab w:val="left" w:pos="-42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7F6AD9"/>
    <w:rsid w:val="737F6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2026-03-25T09:20:00Z</dcterms:created>
  <dc:creator>DELL</dc:creator>
  <cp:lastModifiedBy>DELL</cp:lastModifiedBy>
  <dcterms:modified xsi:type="dcterms:W3CDTF">2026-03-25T09:23:46Z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1D926999BF0349C3BA2E0E91D762D048_11</vt:lpwstr>
  </property>
  <property fmtid="{D5CDD505-2E9C-101B-9397-08002B2CF9AE}" pid="4" name="KSOTemplateDocerSaveRecord">
    <vt:lpwstr>eyJoZGlkIjoiN2RmNGQ2MDc0ZGFiNmIyNjNmMmJiNzcxMzg1OWQzY2YifQ==</vt:lpwstr>
  </property>
</Properties>
</file>