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探测器位置调节三维位移台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543B799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拟采购1套SDD探测器位置调节三维位移台，配合SDD探测器使用，实现对探测器的精准定位。</w:t>
            </w:r>
            <w:r>
              <w:rPr>
                <w:rFonts w:hint="eastAsia"/>
                <w:bCs/>
                <w:szCs w:val="21"/>
              </w:rPr>
              <w:t>SDD探测器位于真空腔体内，三维位移台位于真空腔外的法兰上。三维位移台移动时，通过SDD自带的连接杆传动，调节SDD的位置。除三维位移台外，厂家还需提供配套的CF63法兰和波纹管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，其兼容真空度需要达到1×10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-5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Pa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2E84D032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主要调节精度指标要求</w:t>
            </w:r>
            <w:r>
              <w:rPr>
                <w:rFonts w:hint="eastAsia"/>
                <w:bCs/>
                <w:szCs w:val="21"/>
              </w:rPr>
              <w:t>：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15"/>
              <w:gridCol w:w="3698"/>
            </w:tblGrid>
            <w:tr w14:paraId="1F9493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jc w:val="center"/>
              </w:trPr>
              <w:tc>
                <w:tcPr>
                  <w:tcW w:w="5115" w:type="dxa"/>
                </w:tcPr>
                <w:p w14:paraId="0C92A145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X方向行程</w:t>
                  </w:r>
                  <w:r>
                    <w:rPr>
                      <w:rFonts w:hint="eastAsia"/>
                      <w:bCs/>
                      <w:szCs w:val="21"/>
                    </w:rPr>
                    <w:t>及重复定位精度</w:t>
                  </w:r>
                </w:p>
              </w:tc>
              <w:tc>
                <w:tcPr>
                  <w:tcW w:w="3698" w:type="dxa"/>
                </w:tcPr>
                <w:p w14:paraId="704198EC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≥</w:t>
                  </w:r>
                  <w:r>
                    <w:rPr>
                      <w:bCs/>
                      <w:szCs w:val="21"/>
                    </w:rPr>
                    <w:t>100 mm</w:t>
                  </w:r>
                  <w:r>
                    <w:rPr>
                      <w:rFonts w:hint="eastAsia"/>
                      <w:bCs/>
                      <w:szCs w:val="21"/>
                    </w:rPr>
                    <w:t xml:space="preserve">、≤2 </w:t>
                  </w:r>
                  <w:r>
                    <w:rPr>
                      <w:bCs/>
                      <w:szCs w:val="21"/>
                    </w:rPr>
                    <w:t>μm</w:t>
                  </w:r>
                </w:p>
              </w:tc>
            </w:tr>
            <w:tr w14:paraId="408CE59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115" w:type="dxa"/>
                </w:tcPr>
                <w:p w14:paraId="21DE8ECC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Y/Z方向行程</w:t>
                  </w:r>
                  <w:r>
                    <w:rPr>
                      <w:rFonts w:hint="eastAsia"/>
                      <w:bCs/>
                      <w:szCs w:val="21"/>
                    </w:rPr>
                    <w:t>及重复定位精度</w:t>
                  </w:r>
                </w:p>
              </w:tc>
              <w:tc>
                <w:tcPr>
                  <w:tcW w:w="3698" w:type="dxa"/>
                </w:tcPr>
                <w:p w14:paraId="7218E818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≥</w:t>
                  </w:r>
                  <w:r>
                    <w:rPr>
                      <w:bCs/>
                      <w:szCs w:val="21"/>
                    </w:rPr>
                    <w:t>6 mm</w:t>
                  </w:r>
                  <w:r>
                    <w:rPr>
                      <w:rFonts w:hint="eastAsia"/>
                      <w:bCs/>
                      <w:szCs w:val="21"/>
                    </w:rPr>
                    <w:t xml:space="preserve">、≤2 </w:t>
                  </w:r>
                  <w:r>
                    <w:rPr>
                      <w:bCs/>
                      <w:szCs w:val="21"/>
                    </w:rPr>
                    <w:t>μm</w:t>
                  </w:r>
                </w:p>
              </w:tc>
            </w:tr>
            <w:tr w14:paraId="55EBD6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  <w:jc w:val="center"/>
              </w:trPr>
              <w:tc>
                <w:tcPr>
                  <w:tcW w:w="5115" w:type="dxa"/>
                </w:tcPr>
                <w:p w14:paraId="784FC776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各方向稳定性</w:t>
                  </w:r>
                </w:p>
              </w:tc>
              <w:tc>
                <w:tcPr>
                  <w:tcW w:w="3698" w:type="dxa"/>
                </w:tcPr>
                <w:p w14:paraId="27A3E74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 xml:space="preserve">≤2 </w:t>
                  </w:r>
                  <w:r>
                    <w:rPr>
                      <w:bCs/>
                      <w:szCs w:val="21"/>
                    </w:rPr>
                    <w:t>μm/10</w:t>
                  </w:r>
                  <w:r>
                    <w:rPr>
                      <w:rFonts w:hint="eastAsia"/>
                      <w:bCs/>
                      <w:szCs w:val="21"/>
                    </w:rPr>
                    <w:t>min</w:t>
                  </w:r>
                </w:p>
              </w:tc>
            </w:tr>
            <w:tr w14:paraId="55243E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  <w:jc w:val="center"/>
              </w:trPr>
              <w:tc>
                <w:tcPr>
                  <w:tcW w:w="5115" w:type="dxa"/>
                </w:tcPr>
                <w:p w14:paraId="5F8D3F1E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真空内组件真空度</w:t>
                  </w:r>
                </w:p>
              </w:tc>
              <w:tc>
                <w:tcPr>
                  <w:tcW w:w="3698" w:type="dxa"/>
                </w:tcPr>
                <w:p w14:paraId="48BB5121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≤</w:t>
                  </w:r>
                  <w:r>
                    <w:rPr>
                      <w:rFonts w:hint="eastAsia"/>
                      <w:bCs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1×10</w:t>
                  </w:r>
                  <w:r>
                    <w:rPr>
                      <w:rFonts w:hint="eastAsia"/>
                      <w:bCs/>
                      <w:color w:val="000000" w:themeColor="text1"/>
                      <w:szCs w:val="21"/>
                      <w:vertAlign w:val="superscript"/>
                      <w14:textFill>
                        <w14:solidFill>
                          <w14:schemeClr w14:val="tx1"/>
                        </w14:solidFill>
                      </w14:textFill>
                    </w:rPr>
                    <w:t>-5</w:t>
                  </w:r>
                  <w:r>
                    <w:rPr>
                      <w:rFonts w:hint="eastAsia"/>
                      <w:bCs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Pa</w:t>
                  </w:r>
                </w:p>
              </w:tc>
            </w:tr>
            <w:tr w14:paraId="42C0FB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  <w:jc w:val="center"/>
              </w:trPr>
              <w:tc>
                <w:tcPr>
                  <w:tcW w:w="5115" w:type="dxa"/>
                </w:tcPr>
                <w:p w14:paraId="7A3A9B01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探头重量</w:t>
                  </w:r>
                </w:p>
              </w:tc>
              <w:tc>
                <w:tcPr>
                  <w:tcW w:w="3698" w:type="dxa"/>
                </w:tcPr>
                <w:p w14:paraId="35596D40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≤2</w:t>
                  </w:r>
                  <w:r>
                    <w:rPr>
                      <w:bCs/>
                      <w:szCs w:val="21"/>
                    </w:rPr>
                    <w:t>00g</w:t>
                  </w:r>
                </w:p>
              </w:tc>
            </w:tr>
            <w:tr w14:paraId="7C1F9F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  <w:jc w:val="center"/>
              </w:trPr>
              <w:tc>
                <w:tcPr>
                  <w:tcW w:w="5115" w:type="dxa"/>
                </w:tcPr>
                <w:p w14:paraId="6C05CB46">
                  <w:pPr>
                    <w:tabs>
                      <w:tab w:val="left" w:pos="6915"/>
                    </w:tabs>
                    <w:ind w:firstLine="210" w:firstLineChars="100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法兰接口和部分部件要求</w:t>
                  </w:r>
                </w:p>
              </w:tc>
              <w:tc>
                <w:tcPr>
                  <w:tcW w:w="3698" w:type="dxa"/>
                </w:tcPr>
                <w:p w14:paraId="35543FC8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如图示</w:t>
                  </w:r>
                </w:p>
              </w:tc>
            </w:tr>
          </w:tbl>
          <w:p w14:paraId="2BE7D208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X、Y、Z方向定义如图示</w:t>
            </w:r>
          </w:p>
          <w:p w14:paraId="53E2D5D9">
            <w:pPr>
              <w:tabs>
                <w:tab w:val="left" w:pos="6915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drawing>
                <wp:inline distT="0" distB="0" distL="0" distR="0">
                  <wp:extent cx="3348355" cy="1755775"/>
                  <wp:effectExtent l="0" t="0" r="4445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8355" cy="1755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1457171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88EEA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bCs/>
                <w:szCs w:val="21"/>
              </w:rPr>
              <w:t>合同签订后10个月内</w:t>
            </w:r>
          </w:p>
          <w:p w14:paraId="174FD61F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bCs/>
                <w:szCs w:val="21"/>
              </w:rPr>
              <w:t>一次性交付</w:t>
            </w:r>
          </w:p>
          <w:p w14:paraId="6CD60E58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付款方式：</w:t>
            </w:r>
          </w:p>
          <w:p w14:paraId="277AD0C4">
            <w:pPr>
              <w:ind w:firstLine="420"/>
            </w:pPr>
            <w:r>
              <w:t>（1）合同签订后，买方支付合同总价的50%；</w:t>
            </w:r>
          </w:p>
          <w:p w14:paraId="2DA7A78D">
            <w:pPr>
              <w:ind w:firstLine="420"/>
            </w:pPr>
            <w:r>
              <w:t>（2）货物在制造现场预验收完毕后，买方支付合同总价的30%；</w:t>
            </w:r>
          </w:p>
          <w:p w14:paraId="043ACFBE">
            <w:pPr>
              <w:ind w:firstLine="420"/>
            </w:pPr>
            <w:r>
              <w:t>（3）货到买方指定地点并且经买方验收合格后，买方支付合同总价的20%。</w:t>
            </w:r>
          </w:p>
          <w:p w14:paraId="2261B562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bCs/>
                <w:szCs w:val="21"/>
              </w:rPr>
              <w:t>厂家需对三维位移台</w:t>
            </w:r>
            <w:r>
              <w:rPr>
                <w:rFonts w:hint="eastAsia"/>
                <w:bCs/>
                <w:szCs w:val="21"/>
              </w:rPr>
              <w:t>的行程和精度</w:t>
            </w:r>
            <w:r>
              <w:rPr>
                <w:bCs/>
                <w:szCs w:val="21"/>
              </w:rPr>
              <w:t>进行出厂测试，满足</w:t>
            </w:r>
            <w:r>
              <w:rPr>
                <w:rFonts w:hint="eastAsia"/>
                <w:bCs/>
                <w:szCs w:val="21"/>
              </w:rPr>
              <w:t>上表中</w:t>
            </w:r>
            <w:r>
              <w:rPr>
                <w:bCs/>
                <w:szCs w:val="21"/>
              </w:rPr>
              <w:t>给出的</w:t>
            </w:r>
            <w:r>
              <w:rPr>
                <w:rFonts w:hint="eastAsia"/>
                <w:bCs/>
                <w:szCs w:val="21"/>
              </w:rPr>
              <w:t>指标</w:t>
            </w:r>
            <w:r>
              <w:rPr>
                <w:bCs/>
                <w:szCs w:val="21"/>
              </w:rPr>
              <w:t>要求。</w:t>
            </w:r>
          </w:p>
          <w:p w14:paraId="1978450C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</w:p>
          <w:p w14:paraId="35FDAC09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1. 厂家提供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两</w:t>
            </w:r>
            <w:r>
              <w:rPr>
                <w:bCs/>
                <w:szCs w:val="21"/>
              </w:rPr>
              <w:t>年的免费保修, 保修期自仪器安装验收之日起计算。如在保修期内，需返厂维修，厂家承担所有费用，且保修期相应顺延。在保修期结束前一个月内，厂家上门进行设备整体检修。</w:t>
            </w:r>
          </w:p>
          <w:p w14:paraId="7F85EC95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bCs/>
                <w:szCs w:val="21"/>
              </w:rPr>
              <w:t>2. 保修期内的服务由厂家负责，电话报修后 24 小时上门服务、72 小时内排除故障，如有必要尽快派出维修人员到达现场进行服务。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0B7DF8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2026-03-13T09:23:32Z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