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高能电子衍射仪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F224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本次询价主要为ARPES线站MBE系统采购一套高分辨率的 RHEED（反射高能电子衍射）系统。主要参数要求为：</w:t>
            </w:r>
          </w:p>
          <w:p w14:paraId="21BDFF20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电子枪主体 (Electron Gun)</w:t>
            </w:r>
          </w:p>
          <w:p w14:paraId="4BBE2EF4">
            <w:pPr>
              <w:tabs>
                <w:tab w:val="left" w:pos="6915"/>
              </w:tabs>
              <w:ind w:firstLine="440" w:firstLineChars="200"/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能量范围： 500 eV 至 15 keV 连续可调。</w:t>
            </w:r>
          </w:p>
          <w:p w14:paraId="06728533">
            <w:pPr>
              <w:tabs>
                <w:tab w:val="left" w:pos="6915"/>
              </w:tabs>
              <w:ind w:firstLine="440" w:firstLineChars="200"/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 xml:space="preserve">束斑尺寸： 在最大能量、小束流及工作距离约 150 mm 条件下，束斑直径 </w:t>
            </w:r>
            <m:oMath>
              <m:r>
                <m:rPr>
                  <m:sty m:val="p"/>
                </m:rPr>
                <w:rPr>
                  <w:rFonts w:ascii="Cambria Math" w:hAnsi="Cambria Math" w:cs="宋体"/>
                  <w:sz w:val="22"/>
                  <w:szCs w:val="21"/>
                </w:rPr>
                <m:t>≤</m:t>
              </m:r>
            </m:oMath>
            <w:r>
              <w:rPr>
                <w:rFonts w:ascii="宋体" w:hAnsi="宋体" w:cs="宋体"/>
                <w:bCs/>
                <w:sz w:val="22"/>
                <w:szCs w:val="21"/>
              </w:rPr>
              <w:t>100</w:t>
            </w:r>
            <m:oMath>
              <m:r>
                <m:rPr>
                  <m:sty m:val="p"/>
                </m:rPr>
                <w:rPr>
                  <w:rFonts w:ascii="Cambria Math" w:hAnsi="Cambria Math" w:cs="宋体"/>
                  <w:sz w:val="22"/>
                  <w:szCs w:val="21"/>
                </w:rPr>
                <m:t>μ</m:t>
              </m:r>
              <m:r>
                <m:rPr>
                  <m:sty m:val="p"/>
                </m:rPr>
                <w:rPr>
                  <w:rFonts w:hint="eastAsia" w:ascii="Cambria Math" w:hAnsi="Cambria Math" w:cs="宋体"/>
                  <w:sz w:val="22"/>
                  <w:szCs w:val="21"/>
                </w:rPr>
                <m:t>m</m:t>
              </m:r>
            </m:oMath>
            <w:r>
              <w:rPr>
                <w:rFonts w:hint="eastAsia" w:ascii="宋体" w:hAnsi="宋体" w:cs="宋体"/>
                <w:bCs/>
                <w:sz w:val="22"/>
                <w:szCs w:val="21"/>
              </w:rPr>
              <w:t xml:space="preserve">。安装法兰： 标准 DN40CF。烘烤温度： 超高真空（UHV）兼容，整体可承受最高 200 </w:t>
            </w:r>
            <m:oMath>
              <m:r>
                <m:rPr>
                  <m:sty m:val="p"/>
                </m:rPr>
                <w:rPr>
                  <w:rFonts w:ascii="Cambria Math" w:hAnsi="Cambria Math" w:cs="宋体"/>
                  <w:sz w:val="22"/>
                  <w:szCs w:val="21"/>
                </w:rPr>
                <m:t>℃</m:t>
              </m:r>
            </m:oMath>
            <w:r>
              <w:rPr>
                <w:rFonts w:hint="eastAsia" w:ascii="宋体" w:hAnsi="宋体" w:cs="宋体"/>
                <w:bCs/>
                <w:sz w:val="22"/>
                <w:szCs w:val="21"/>
              </w:rPr>
              <w:t>的烘烤。</w:t>
            </w:r>
          </w:p>
          <w:p w14:paraId="176D41E5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电子束摆动功能 (Beam Rocking)： 必须包含此配置。 要求能够通过电磁/静电光学系统，在不移动机械结构的前提下，实现电子束入射角的精确电子控制（摆动），以方便进行摇摆曲线（Rocking Curve）测量及复杂表面结构的动态分析。</w:t>
            </w:r>
          </w:p>
          <w:p w14:paraId="17FAA411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差分抽气系统 (Differential Pumping)差分配置： 必须至少包含一级差分抽气（1-stage DP）接口。</w:t>
            </w:r>
          </w:p>
          <w:p w14:paraId="76ED64DD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控制器与电源 (Controller &amp; Power Supply)</w:t>
            </w:r>
          </w:p>
          <w:p w14:paraId="241BAC3E">
            <w:pPr>
              <w:pStyle w:val="11"/>
              <w:tabs>
                <w:tab w:val="left" w:pos="6915"/>
                <w:tab w:val="clear" w:pos="1428"/>
              </w:tabs>
              <w:ind w:left="360" w:firstLine="0" w:firstLineChars="0"/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电源控制单元： 19英寸标准机架式控制器，具备高精度数字化显示（电压、灯丝电流、发射电流、聚焦电压等）。远程手动控制： 配备手持式远程控制盒（Remote Control Box），便于在真空腔体旁实时调节束流和聚焦。电脑控制模块：包含 PC 连接接口。</w:t>
            </w:r>
          </w:p>
          <w:p w14:paraId="1ED83320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附件及配件 (Accessories)</w:t>
            </w:r>
          </w:p>
          <w:p w14:paraId="672E1DA0">
            <w:pPr>
              <w:pStyle w:val="11"/>
              <w:tabs>
                <w:tab w:val="left" w:pos="6915"/>
                <w:tab w:val="clear" w:pos="1428"/>
              </w:tabs>
              <w:ind w:left="360" w:firstLine="0" w:firstLineChars="0"/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 xml:space="preserve">备用灯丝（阴极）： 需额外提供 </w:t>
            </w:r>
            <w:r>
              <w:rPr>
                <w:rFonts w:ascii="宋体" w:hAnsi="宋体" w:cs="宋体"/>
                <w:bCs/>
                <w:sz w:val="22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sz w:val="22"/>
                <w:szCs w:val="21"/>
              </w:rPr>
              <w:t xml:space="preserve"> 个预装、预对准的备用灯丝/阴极组件（Cathode Cartridges）。</w:t>
            </w:r>
          </w:p>
          <w:p w14:paraId="65012D89">
            <w:pPr>
              <w:pStyle w:val="11"/>
              <w:tabs>
                <w:tab w:val="left" w:pos="6915"/>
                <w:tab w:val="clear" w:pos="1428"/>
              </w:tabs>
              <w:ind w:left="360" w:firstLine="0" w:firstLineChars="0"/>
              <w:jc w:val="left"/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荧光屏 (Fluorescent Screen)： 提供标准 RHEED 荧光屏，法兰尺寸为 DN100CF。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99550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1</w:t>
            </w:r>
            <w:r>
              <w:rPr>
                <w:rFonts w:ascii="宋体" w:hAnsi="宋体"/>
                <w:b w:val="0"/>
                <w:bCs/>
                <w:szCs w:val="21"/>
              </w:rPr>
              <w:t>2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个月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内</w:t>
            </w:r>
          </w:p>
          <w:p w14:paraId="063DF81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1263B4E5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付款方式一：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合同签订后预付3</w:t>
            </w:r>
            <w:r>
              <w:rPr>
                <w:rFonts w:ascii="宋体" w:hAnsi="宋体"/>
                <w:b w:val="0"/>
                <w:bCs/>
                <w:szCs w:val="21"/>
              </w:rPr>
              <w:t>0%;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收到货后预付6</w:t>
            </w:r>
            <w:r>
              <w:rPr>
                <w:rFonts w:ascii="宋体" w:hAnsi="宋体"/>
                <w:b w:val="0"/>
                <w:bCs/>
                <w:szCs w:val="21"/>
              </w:rPr>
              <w:t>0%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，验收合格后支付1</w:t>
            </w:r>
            <w:r>
              <w:rPr>
                <w:rFonts w:ascii="宋体" w:hAnsi="宋体"/>
                <w:b w:val="0"/>
                <w:bCs/>
                <w:szCs w:val="21"/>
              </w:rPr>
              <w:t>0%</w:t>
            </w:r>
            <w:r>
              <w:rPr>
                <w:rFonts w:hint="eastAsia" w:ascii="宋体" w:hAnsi="宋体"/>
                <w:b w:val="0"/>
                <w:bCs/>
                <w:szCs w:val="21"/>
                <w:lang w:eastAsia="zh-CN"/>
              </w:rPr>
              <w:t>；</w:t>
            </w:r>
          </w:p>
          <w:p w14:paraId="1A50809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付款方式二：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卖方在出运货物后，凭信用证规定的装运单据（如提单、发票、装箱单等）向开证行议付，金额为合同总价的90%。在货物到达买方工厂并经双方共同验收合格后，卖方凭买方授权代表签署的《验收合格报告》（Acceptance Certificate）及相关单据，向银行议付合同总价的10%尾款。</w:t>
            </w:r>
          </w:p>
          <w:p w14:paraId="6C74CE62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提供出厂测试报告</w:t>
            </w:r>
          </w:p>
          <w:p w14:paraId="2751F177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标准质保期大于等于1</w:t>
            </w:r>
            <w:r>
              <w:rPr>
                <w:rFonts w:ascii="宋体" w:hAnsi="宋体"/>
                <w:b w:val="0"/>
                <w:bCs/>
                <w:szCs w:val="21"/>
              </w:rPr>
              <w:t>2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个月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7B29FC"/>
    <w:multiLevelType w:val="multilevel"/>
    <w:tmpl w:val="467B29F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C0616FC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21F7D99"/>
    <w:rsid w:val="58533025"/>
    <w:rsid w:val="5DC766F2"/>
    <w:rsid w:val="64331764"/>
    <w:rsid w:val="6DA20D7D"/>
    <w:rsid w:val="6E8036D7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724</Words>
  <Characters>810</Characters>
  <Lines>11</Lines>
  <Paragraphs>3</Paragraphs>
  <TotalTime>0</TotalTime>
  <ScaleCrop>false</ScaleCrop>
  <LinksUpToDate>false</LinksUpToDate>
  <CharactersWithSpaces>839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2026-05-26T08:02:28Z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