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0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1030"/>
        <w:gridCol w:w="6162"/>
        <w:gridCol w:w="1303"/>
        <w:gridCol w:w="926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72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0" w:hRule="atLeast"/>
        </w:trPr>
        <w:tc>
          <w:tcPr>
            <w:tcW w:w="72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陶瓷真空室及真空室保存装置</w:t>
            </w:r>
          </w:p>
        </w:tc>
        <w:tc>
          <w:tcPr>
            <w:tcW w:w="57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tbl>
            <w:tblPr>
              <w:tblStyle w:val="5"/>
              <w:tblW w:w="5936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480"/>
              <w:gridCol w:w="456"/>
            </w:tblGrid>
            <w:tr w14:paraId="0E98865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" w:hRule="atLeast"/>
                <w:jc w:val="center"/>
              </w:trPr>
              <w:tc>
                <w:tcPr>
                  <w:tcW w:w="54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8675805">
                  <w:pPr>
                    <w:rPr>
                      <w:sz w:val="24"/>
                      <w:szCs w:val="24"/>
                    </w:rPr>
                  </w:pPr>
                  <w:bookmarkStart w:id="0" w:name="_GoBack"/>
                  <w:bookmarkEnd w:id="0"/>
                  <w:r>
                    <w:rPr>
                      <w:rFonts w:ascii="宋体" w:hAnsi="宋体"/>
                      <w:sz w:val="24"/>
                      <w:szCs w:val="24"/>
                    </w:rPr>
                    <w:t>设计指标</w:t>
                  </w:r>
                </w:p>
              </w:tc>
              <w:tc>
                <w:tcPr>
                  <w:tcW w:w="43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FA88238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宋体" w:hAnsi="宋体"/>
                      <w:sz w:val="24"/>
                      <w:szCs w:val="24"/>
                    </w:rPr>
                    <w:t>数量</w:t>
                  </w:r>
                </w:p>
              </w:tc>
            </w:tr>
            <w:tr w14:paraId="6B3721D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38" w:hRule="atLeast"/>
                <w:jc w:val="center"/>
              </w:trPr>
              <w:tc>
                <w:tcPr>
                  <w:tcW w:w="54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C66BC4F">
                  <w:pPr>
                    <w:numPr>
                      <w:ilvl w:val="0"/>
                      <w:numId w:val="1"/>
                    </w:numPr>
                    <w:rPr>
                      <w:sz w:val="24"/>
                      <w:szCs w:val="24"/>
                    </w:rPr>
                  </w:pPr>
                  <w:r>
                    <w:rPr>
                      <w:rFonts w:ascii="宋体" w:hAnsi="宋体"/>
                      <w:sz w:val="24"/>
                      <w:szCs w:val="24"/>
                    </w:rPr>
                    <w:t>普通陶瓷真空室</w:t>
                  </w:r>
                  <w:r>
                    <w:rPr>
                      <w:sz w:val="24"/>
                      <w:szCs w:val="24"/>
                    </w:rPr>
                    <w:t>K1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和</w:t>
                  </w:r>
                  <w:r>
                    <w:rPr>
                      <w:sz w:val="24"/>
                      <w:szCs w:val="24"/>
                    </w:rPr>
                    <w:t>K3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要求：长度</w:t>
                  </w:r>
                  <w:r>
                    <w:rPr>
                      <w:sz w:val="24"/>
                      <w:szCs w:val="24"/>
                    </w:rPr>
                    <w:t>520 mm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，陶瓷管长度</w:t>
                  </w:r>
                  <w:r>
                    <w:rPr>
                      <w:sz w:val="24"/>
                      <w:szCs w:val="24"/>
                    </w:rPr>
                    <w:t xml:space="preserve"> ≥ 350 mm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，内壁镀钛膜，陶瓷管内径</w:t>
                  </w:r>
                  <w:r>
                    <w:rPr>
                      <w:sz w:val="24"/>
                      <w:szCs w:val="24"/>
                    </w:rPr>
                    <w:t>26 mm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，壁厚</w:t>
                  </w:r>
                  <w:r>
                    <w:rPr>
                      <w:sz w:val="24"/>
                      <w:szCs w:val="24"/>
                    </w:rPr>
                    <w:t>4 mm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；两端使用</w:t>
                  </w:r>
                  <w:r>
                    <w:rPr>
                      <w:sz w:val="24"/>
                      <w:szCs w:val="24"/>
                    </w:rPr>
                    <w:t>CF63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标准不锈钢法兰，一端连接波纹管，一端无波纹管；使用水冷法兰，水管与真空分离设计，漏率小于</w:t>
                  </w:r>
                  <w:r>
                    <w:rPr>
                      <w:sz w:val="24"/>
                      <w:szCs w:val="24"/>
                    </w:rPr>
                    <w:t>1E-11 mbar·L/s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。此项共两台。最终以双方会签图纸为准，设计投产图纸须经甲方审核，双方会签后方可投产。</w:t>
                  </w:r>
                </w:p>
                <w:p w14:paraId="5C52CA1C">
                  <w:pPr>
                    <w:numPr>
                      <w:ilvl w:val="0"/>
                      <w:numId w:val="1"/>
                    </w:numPr>
                    <w:rPr>
                      <w:sz w:val="24"/>
                      <w:szCs w:val="24"/>
                    </w:rPr>
                  </w:pPr>
                  <w:r>
                    <w:rPr>
                      <w:rFonts w:ascii="宋体" w:hAnsi="宋体"/>
                      <w:sz w:val="24"/>
                      <w:szCs w:val="24"/>
                    </w:rPr>
                    <w:t>特殊陶瓷真空室</w:t>
                  </w:r>
                  <w:r>
                    <w:rPr>
                      <w:sz w:val="24"/>
                      <w:szCs w:val="24"/>
                    </w:rPr>
                    <w:t>NLK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要求：安装总长</w:t>
                  </w:r>
                  <w:r>
                    <w:rPr>
                      <w:sz w:val="24"/>
                      <w:szCs w:val="24"/>
                    </w:rPr>
                    <w:t>600 mm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，内部含有吊装铜电极，陶瓷管长度大于</w:t>
                  </w:r>
                  <w:r>
                    <w:rPr>
                      <w:sz w:val="24"/>
                      <w:szCs w:val="24"/>
                    </w:rPr>
                    <w:t>300 mm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，陶瓷管采用三氧化二铝电真空陶瓷材料，含量</w:t>
                  </w:r>
                  <w:r>
                    <w:rPr>
                      <w:sz w:val="24"/>
                      <w:szCs w:val="24"/>
                    </w:rPr>
                    <w:t xml:space="preserve">95% </w:t>
                  </w:r>
                  <w:r>
                    <w:rPr>
                      <w:rFonts w:hint="eastAsia"/>
                      <w:sz w:val="24"/>
                      <w:szCs w:val="24"/>
                    </w:rPr>
                    <w:t xml:space="preserve">- </w:t>
                  </w:r>
                  <w:r>
                    <w:rPr>
                      <w:sz w:val="24"/>
                      <w:szCs w:val="24"/>
                    </w:rPr>
                    <w:t>99%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；使用水冷法兰，水管与真空分离设计，漏率小于</w:t>
                  </w:r>
                  <w:r>
                    <w:rPr>
                      <w:sz w:val="24"/>
                      <w:szCs w:val="24"/>
                    </w:rPr>
                    <w:t>1E-11 mbar·L/s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。此项共一台。最终以双方会签图纸为准，设计投产图纸须经甲方审核，双方会签后方可投产。</w:t>
                  </w:r>
                </w:p>
                <w:p w14:paraId="6F2082D7">
                  <w:pPr>
                    <w:numPr>
                      <w:ilvl w:val="0"/>
                      <w:numId w:val="1"/>
                    </w:numPr>
                    <w:rPr>
                      <w:sz w:val="24"/>
                      <w:szCs w:val="24"/>
                    </w:rPr>
                  </w:pPr>
                  <w:r>
                    <w:rPr>
                      <w:rFonts w:ascii="宋体" w:hAnsi="宋体"/>
                      <w:sz w:val="24"/>
                      <w:szCs w:val="24"/>
                    </w:rPr>
                    <w:t>陶瓷真空室保存装置要求：可同时接入四个陶瓷真空室以维持内部真空，四个真空室法兰接口均为</w:t>
                  </w:r>
                  <w:r>
                    <w:rPr>
                      <w:sz w:val="24"/>
                      <w:szCs w:val="24"/>
                    </w:rPr>
                    <w:t>CF63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，另有若干法兰接口，可接入离子泵及真空检测装置等，漏率小于</w:t>
                  </w:r>
                  <w:r>
                    <w:rPr>
                      <w:sz w:val="24"/>
                      <w:szCs w:val="24"/>
                    </w:rPr>
                    <w:t>1E-11 mbar·L/s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。此项另包含</w:t>
                  </w:r>
                  <w:r>
                    <w:rPr>
                      <w:sz w:val="24"/>
                      <w:szCs w:val="24"/>
                    </w:rPr>
                    <w:t>200 L/s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的离子泵一台、保存装置主体的支撑架、四个陶瓷真空室的支撑架。最终以双方会签图纸为准，设计投产图纸须经甲方审核，双方会签后方可投产。</w:t>
                  </w:r>
                </w:p>
              </w:tc>
              <w:tc>
                <w:tcPr>
                  <w:tcW w:w="43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D4856CF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4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>台</w:t>
                  </w:r>
                </w:p>
              </w:tc>
            </w:tr>
          </w:tbl>
          <w:p w14:paraId="4C73656C">
            <w:pPr>
              <w:tabs>
                <w:tab w:val="left" w:pos="6915"/>
              </w:tabs>
              <w:rPr>
                <w:bCs/>
                <w:sz w:val="24"/>
              </w:rPr>
            </w:pPr>
          </w:p>
        </w:tc>
        <w:tc>
          <w:tcPr>
            <w:tcW w:w="1464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72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099428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交货期：合同签订后2个月内图纸会签，图纸会签后6个月内交货。</w:t>
            </w:r>
          </w:p>
          <w:p w14:paraId="038590FC">
            <w:pPr>
              <w:tabs>
                <w:tab w:val="left" w:pos="6915"/>
              </w:tabs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交付进度：供货方于合同生效之日起6个月内将货物送达至采购方指定地点。</w:t>
            </w:r>
          </w:p>
          <w:p w14:paraId="3617CDD8">
            <w:pPr>
              <w:tabs>
                <w:tab w:val="left" w:pos="6915"/>
              </w:tabs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付款方式：甲方预付合同总金额的40%，货到甲方验收合格后支付合同总金额的60%。</w:t>
            </w:r>
          </w:p>
          <w:p w14:paraId="4A409715">
            <w:pPr>
              <w:tabs>
                <w:tab w:val="left" w:pos="6915"/>
              </w:tabs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验收要求：根据双方审核通过的会签图纸进行验收。</w:t>
            </w:r>
          </w:p>
          <w:p w14:paraId="2AF0E2A3">
            <w:pPr>
              <w:tabs>
                <w:tab w:val="left" w:pos="6915"/>
              </w:tabs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阶段性检查要求：在设备部件加工完成后并在整体组装前进行阶段性检查。</w:t>
            </w:r>
          </w:p>
          <w:p w14:paraId="717A1ADC">
            <w:pPr>
              <w:pStyle w:val="11"/>
              <w:tabs>
                <w:tab w:val="left" w:pos="6915"/>
                <w:tab w:val="clear" w:pos="1428"/>
              </w:tabs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eastAsiaTheme="minorEastAsia" w:cstheme="minorBidi"/>
                <w:szCs w:val="21"/>
              </w:rPr>
              <w:t>保修及售后服务：自验收之日起质保一年，质保期内发生质量问题的，乙方应自接到甲方异议之日起3个工作日响应并提出有效解决方案，所产生的费用乙方承担。乙方提供必要的技术支持，确保甲方能够及时有效的使用设备。</w:t>
            </w:r>
          </w:p>
        </w:tc>
        <w:tc>
          <w:tcPr>
            <w:tcW w:w="1464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68441B"/>
    <w:multiLevelType w:val="multilevel"/>
    <w:tmpl w:val="7D68441B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72A27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668BC"/>
    <w:rsid w:val="00584F75"/>
    <w:rsid w:val="005C4758"/>
    <w:rsid w:val="005E2C0C"/>
    <w:rsid w:val="005F7E7B"/>
    <w:rsid w:val="00630F8F"/>
    <w:rsid w:val="00642AF5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CE0BDA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93C12EB"/>
    <w:rsid w:val="0C195661"/>
    <w:rsid w:val="128E50EE"/>
    <w:rsid w:val="2D070EC5"/>
    <w:rsid w:val="468B21C7"/>
    <w:rsid w:val="46BF17AE"/>
    <w:rsid w:val="48EB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769</Words>
  <Characters>839</Characters>
  <Lines>6</Lines>
  <Paragraphs>1</Paragraphs>
  <TotalTime>1</TotalTime>
  <ScaleCrop>false</ScaleCrop>
  <LinksUpToDate>false</LinksUpToDate>
  <CharactersWithSpaces>882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2025-12-29T07:21:28Z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eyJoZGlkIjoiN2RlYWI4ZWUzNTBhNTYxZTE1ZDI0ZDliNjg4YTQ3ZjIiLCJ1c2VySWQiOiIxNzc0OTA2Mjk1In0=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