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bookmarkStart w:id="0" w:name="_GoBack"/>
      <w:r>
        <w:rPr>
          <w:rFonts w:hint="eastAsia"/>
          <w:sz w:val="36"/>
        </w:rPr>
        <w:t>技术指标供应商确认表</w:t>
      </w:r>
      <w:bookmarkEnd w:id="0"/>
    </w:p>
    <w:p w14:paraId="3E58F52B"/>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61"/>
        <w:gridCol w:w="5105"/>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561" w:type="dxa"/>
            <w:vAlign w:val="center"/>
          </w:tcPr>
          <w:p w14:paraId="3A9FF52B">
            <w:pPr>
              <w:spacing w:line="240" w:lineRule="atLeast"/>
              <w:jc w:val="center"/>
              <w:rPr>
                <w:sz w:val="22"/>
              </w:rPr>
            </w:pPr>
            <w:r>
              <w:rPr>
                <w:rFonts w:hint="eastAsia"/>
                <w:sz w:val="22"/>
              </w:rPr>
              <w:t>名称</w:t>
            </w:r>
          </w:p>
        </w:tc>
        <w:tc>
          <w:tcPr>
            <w:tcW w:w="5105"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6" w:hRule="atLeast"/>
        </w:trPr>
        <w:tc>
          <w:tcPr>
            <w:tcW w:w="705" w:type="dxa"/>
            <w:vAlign w:val="center"/>
          </w:tcPr>
          <w:p w14:paraId="185CA09D">
            <w:pPr>
              <w:spacing w:line="240" w:lineRule="atLeast"/>
              <w:jc w:val="center"/>
            </w:pPr>
            <w:r>
              <w:rPr>
                <w:rFonts w:hint="eastAsia"/>
              </w:rPr>
              <w:t>1</w:t>
            </w:r>
          </w:p>
        </w:tc>
        <w:tc>
          <w:tcPr>
            <w:tcW w:w="1561" w:type="dxa"/>
            <w:tcBorders>
              <w:top w:val="single" w:color="auto" w:sz="4" w:space="0"/>
              <w:left w:val="single" w:color="auto" w:sz="4" w:space="0"/>
              <w:right w:val="single" w:color="auto" w:sz="4" w:space="0"/>
            </w:tcBorders>
            <w:shd w:val="clear" w:color="auto" w:fill="auto"/>
            <w:vAlign w:val="center"/>
          </w:tcPr>
          <w:p w14:paraId="348A5544">
            <w:pPr>
              <w:widowControl/>
              <w:spacing w:line="240" w:lineRule="atLeast"/>
              <w:jc w:val="center"/>
              <w:rPr>
                <w:rFonts w:ascii="Times New Roman" w:hAnsi="Times New Roman" w:eastAsia="宋体" w:cs="Times New Roman"/>
                <w:sz w:val="21"/>
                <w:szCs w:val="21"/>
              </w:rPr>
            </w:pPr>
            <w:r>
              <w:rPr>
                <w:rFonts w:hint="eastAsia" w:ascii="宋体" w:hAnsi="宋体" w:eastAsia="宋体" w:cs="宋体"/>
                <w:b w:val="0"/>
                <w:bCs/>
                <w:sz w:val="21"/>
                <w:szCs w:val="21"/>
              </w:rPr>
              <w:t>多目相机和结构光视觉定位系统</w:t>
            </w:r>
          </w:p>
        </w:tc>
        <w:tc>
          <w:tcPr>
            <w:tcW w:w="5105" w:type="dxa"/>
            <w:vAlign w:val="center"/>
          </w:tcPr>
          <w:p w14:paraId="13FAFF82">
            <w:pPr>
              <w:tabs>
                <w:tab w:val="left" w:pos="6915"/>
              </w:tabs>
              <w:jc w:val="left"/>
              <w:rPr>
                <w:rFonts w:hint="default" w:eastAsiaTheme="minorEastAsia"/>
                <w:bCs/>
                <w:sz w:val="21"/>
                <w:szCs w:val="21"/>
                <w:lang w:val="en-US" w:eastAsia="zh-CN"/>
              </w:rPr>
            </w:pPr>
            <w:r>
              <w:rPr>
                <w:rFonts w:hint="eastAsia"/>
                <w:bCs/>
                <w:sz w:val="21"/>
                <w:szCs w:val="21"/>
                <w:lang w:val="en-US" w:eastAsia="zh-CN"/>
              </w:rPr>
              <w:t>数量：1套</w:t>
            </w:r>
          </w:p>
          <w:p w14:paraId="77241B09">
            <w:pPr>
              <w:numPr>
                <w:numId w:val="0"/>
              </w:numPr>
              <w:spacing w:line="360" w:lineRule="exact"/>
              <w:ind w:leftChars="0"/>
              <w:jc w:val="left"/>
              <w:rPr>
                <w:rFonts w:hint="eastAsia"/>
                <w:bCs/>
                <w:sz w:val="21"/>
                <w:szCs w:val="21"/>
              </w:rPr>
            </w:pPr>
            <w:r>
              <w:rPr>
                <w:rFonts w:hint="eastAsia"/>
                <w:bCs/>
                <w:sz w:val="21"/>
                <w:szCs w:val="21"/>
              </w:rPr>
              <w:t>本套系统的目标是通过多目相机和结构光视觉定位系统，通过直径35mm左右的光学观察窗(光学玻璃或者石英材质)对距离100-300mm处的样品杆、样品托和样品进行三维位置姿态测量。基于测量结果计算自动传样的位置修正和同步辐射光对正的位置偏移量。样品杆、样品托、样品、腔体环境都可能存在金属材质镜面反光。具体指标见下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4" w:type="dxa"/>
                <w:left w:w="128" w:type="dxa"/>
                <w:bottom w:w="64" w:type="dxa"/>
                <w:right w:w="128" w:type="dxa"/>
              </w:tblCellMar>
            </w:tblPr>
            <w:tblGrid>
              <w:gridCol w:w="1001"/>
              <w:gridCol w:w="3878"/>
            </w:tblGrid>
            <w:tr w14:paraId="5C48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4608694F">
                  <w:pPr>
                    <w:snapToGrid w:val="0"/>
                    <w:rPr>
                      <w:rFonts w:hint="eastAsia" w:ascii="宋体" w:hAnsi="宋体" w:eastAsia="宋体" w:cs="宋体"/>
                      <w:sz w:val="21"/>
                      <w:szCs w:val="21"/>
                    </w:rPr>
                  </w:pPr>
                  <w:r>
                    <w:rPr>
                      <w:rFonts w:hint="eastAsia" w:ascii="宋体" w:hAnsi="宋体" w:eastAsia="宋体" w:cs="宋体"/>
                      <w:sz w:val="21"/>
                      <w:szCs w:val="21"/>
                    </w:rPr>
                    <w:t>多目相机（2台）</w:t>
                  </w:r>
                </w:p>
              </w:tc>
              <w:tc>
                <w:tcPr>
                  <w:tcW w:w="3878" w:type="dxa"/>
                  <w:vAlign w:val="center"/>
                </w:tcPr>
                <w:p w14:paraId="0271975A">
                  <w:pPr>
                    <w:snapToGrid w:val="0"/>
                    <w:rPr>
                      <w:rFonts w:hint="eastAsia" w:ascii="宋体" w:hAnsi="宋体" w:eastAsia="宋体" w:cs="宋体"/>
                      <w:sz w:val="21"/>
                      <w:szCs w:val="21"/>
                    </w:rPr>
                  </w:pPr>
                  <w:r>
                    <w:rPr>
                      <w:rFonts w:hint="eastAsia" w:ascii="宋体" w:hAnsi="宋体" w:eastAsia="宋体" w:cs="宋体"/>
                      <w:sz w:val="21"/>
                      <w:szCs w:val="21"/>
                    </w:rPr>
                    <w:t>传感器直出分辨率：1920*1080(彩色)，1280*800（深度），1280*800（红外）</w:t>
                  </w:r>
                </w:p>
                <w:p w14:paraId="35230B86">
                  <w:pPr>
                    <w:snapToGrid w:val="0"/>
                    <w:rPr>
                      <w:rFonts w:hint="eastAsia" w:ascii="宋体" w:hAnsi="宋体" w:eastAsia="宋体" w:cs="宋体"/>
                      <w:sz w:val="21"/>
                      <w:szCs w:val="21"/>
                    </w:rPr>
                  </w:pPr>
                  <w:r>
                    <w:rPr>
                      <w:rFonts w:hint="eastAsia" w:ascii="宋体" w:hAnsi="宋体" w:eastAsia="宋体" w:cs="宋体"/>
                      <w:sz w:val="21"/>
                      <w:szCs w:val="21"/>
                    </w:rPr>
                    <w:t>红外波段：大于等于940nm</w:t>
                  </w:r>
                </w:p>
                <w:p w14:paraId="7B56D180">
                  <w:pPr>
                    <w:snapToGrid w:val="0"/>
                    <w:rPr>
                      <w:rFonts w:hint="eastAsia" w:ascii="宋体" w:hAnsi="宋体" w:eastAsia="宋体" w:cs="宋体"/>
                      <w:sz w:val="21"/>
                      <w:szCs w:val="21"/>
                    </w:rPr>
                  </w:pPr>
                  <w:r>
                    <w:rPr>
                      <w:rFonts w:hint="eastAsia" w:ascii="宋体" w:hAnsi="宋体" w:eastAsia="宋体" w:cs="宋体"/>
                      <w:sz w:val="21"/>
                      <w:szCs w:val="21"/>
                    </w:rPr>
                    <w:t>帧率：不低于30 帧/秒</w:t>
                  </w:r>
                </w:p>
                <w:p w14:paraId="63C2F7E0">
                  <w:pPr>
                    <w:snapToGrid w:val="0"/>
                    <w:rPr>
                      <w:rFonts w:hint="eastAsia" w:ascii="宋体" w:hAnsi="宋体" w:eastAsia="宋体" w:cs="宋体"/>
                      <w:sz w:val="21"/>
                      <w:szCs w:val="21"/>
                    </w:rPr>
                  </w:pPr>
                  <w:r>
                    <w:rPr>
                      <w:rFonts w:hint="eastAsia" w:ascii="宋体" w:hAnsi="宋体" w:eastAsia="宋体" w:cs="宋体"/>
                      <w:sz w:val="21"/>
                      <w:szCs w:val="21"/>
                    </w:rPr>
                    <w:t>基线距离：40 mm</w:t>
                  </w:r>
                </w:p>
                <w:p w14:paraId="4E289D13">
                  <w:pPr>
                    <w:snapToGrid w:val="0"/>
                    <w:rPr>
                      <w:rFonts w:hint="eastAsia" w:ascii="宋体" w:hAnsi="宋体" w:eastAsia="宋体" w:cs="宋体"/>
                      <w:sz w:val="21"/>
                      <w:szCs w:val="21"/>
                    </w:rPr>
                  </w:pPr>
                  <w:r>
                    <w:rPr>
                      <w:rFonts w:hint="eastAsia" w:ascii="宋体" w:hAnsi="宋体" w:eastAsia="宋体" w:cs="宋体"/>
                      <w:sz w:val="21"/>
                      <w:szCs w:val="21"/>
                    </w:rPr>
                    <w:t>工作距离：至少覆盖190mm-400mm</w:t>
                  </w:r>
                </w:p>
                <w:p w14:paraId="46FDB339">
                  <w:pPr>
                    <w:snapToGrid w:val="0"/>
                    <w:rPr>
                      <w:rFonts w:hint="eastAsia" w:ascii="宋体" w:hAnsi="宋体" w:eastAsia="宋体" w:cs="宋体"/>
                      <w:sz w:val="21"/>
                      <w:szCs w:val="21"/>
                    </w:rPr>
                  </w:pPr>
                  <w:r>
                    <w:rPr>
                      <w:rFonts w:hint="eastAsia" w:ascii="宋体" w:hAnsi="宋体" w:eastAsia="宋体" w:cs="宋体"/>
                      <w:sz w:val="21"/>
                      <w:szCs w:val="21"/>
                    </w:rPr>
                    <w:t>彩色、深度、红外 三路对齐</w:t>
                  </w:r>
                </w:p>
                <w:p w14:paraId="5A50516B">
                  <w:pPr>
                    <w:snapToGrid w:val="0"/>
                    <w:rPr>
                      <w:rFonts w:hint="eastAsia" w:ascii="宋体" w:hAnsi="宋体" w:eastAsia="宋体" w:cs="宋体"/>
                      <w:sz w:val="21"/>
                      <w:szCs w:val="21"/>
                    </w:rPr>
                  </w:pPr>
                  <w:r>
                    <w:rPr>
                      <w:rFonts w:hint="eastAsia" w:ascii="宋体" w:hAnsi="宋体" w:eastAsia="宋体" w:cs="宋体"/>
                      <w:sz w:val="21"/>
                      <w:szCs w:val="21"/>
                    </w:rPr>
                    <w:t>硬件接口：USB3.0</w:t>
                  </w:r>
                </w:p>
                <w:p w14:paraId="0874BAA4">
                  <w:pPr>
                    <w:snapToGrid w:val="0"/>
                    <w:rPr>
                      <w:rFonts w:hint="eastAsia" w:ascii="宋体" w:hAnsi="宋体" w:eastAsia="宋体" w:cs="宋体"/>
                      <w:sz w:val="21"/>
                      <w:szCs w:val="21"/>
                    </w:rPr>
                  </w:pPr>
                  <w:r>
                    <w:rPr>
                      <w:rFonts w:hint="eastAsia" w:ascii="宋体" w:hAnsi="宋体" w:eastAsia="宋体" w:cs="宋体"/>
                      <w:sz w:val="21"/>
                      <w:szCs w:val="21"/>
                    </w:rPr>
                    <w:t>安装支架：适配金属法兰观察窗的安装支架</w:t>
                  </w:r>
                </w:p>
              </w:tc>
            </w:tr>
            <w:tr w14:paraId="0E52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143BBE42">
                  <w:pPr>
                    <w:snapToGrid w:val="0"/>
                    <w:rPr>
                      <w:rFonts w:hint="eastAsia" w:ascii="宋体" w:hAnsi="宋体" w:eastAsia="宋体" w:cs="宋体"/>
                      <w:sz w:val="21"/>
                      <w:szCs w:val="21"/>
                    </w:rPr>
                  </w:pPr>
                  <w:r>
                    <w:rPr>
                      <w:rFonts w:hint="eastAsia" w:ascii="宋体" w:hAnsi="宋体" w:eastAsia="宋体" w:cs="宋体"/>
                      <w:sz w:val="21"/>
                      <w:szCs w:val="21"/>
                    </w:rPr>
                    <w:t>结构光定位系统（2套）</w:t>
                  </w:r>
                </w:p>
              </w:tc>
              <w:tc>
                <w:tcPr>
                  <w:tcW w:w="3878" w:type="dxa"/>
                  <w:vAlign w:val="center"/>
                </w:tcPr>
                <w:p w14:paraId="5488C800">
                  <w:pPr>
                    <w:snapToGrid w:val="0"/>
                    <w:rPr>
                      <w:rFonts w:hint="eastAsia" w:ascii="宋体" w:hAnsi="宋体" w:eastAsia="宋体" w:cs="宋体"/>
                      <w:sz w:val="21"/>
                      <w:szCs w:val="21"/>
                    </w:rPr>
                  </w:pPr>
                  <w:r>
                    <w:rPr>
                      <w:rFonts w:hint="eastAsia" w:ascii="宋体" w:hAnsi="宋体" w:eastAsia="宋体" w:cs="宋体"/>
                      <w:sz w:val="21"/>
                      <w:szCs w:val="21"/>
                    </w:rPr>
                    <w:t>散斑点数不少于1.5万</w:t>
                  </w:r>
                </w:p>
                <w:p w14:paraId="24B213A9">
                  <w:pPr>
                    <w:snapToGrid w:val="0"/>
                    <w:rPr>
                      <w:rFonts w:hint="eastAsia" w:ascii="宋体" w:hAnsi="宋体" w:eastAsia="宋体" w:cs="宋体"/>
                      <w:sz w:val="21"/>
                      <w:szCs w:val="21"/>
                    </w:rPr>
                  </w:pPr>
                  <w:r>
                    <w:rPr>
                      <w:rFonts w:hint="eastAsia" w:ascii="宋体" w:hAnsi="宋体" w:eastAsia="宋体" w:cs="宋体"/>
                      <w:sz w:val="21"/>
                      <w:szCs w:val="21"/>
                    </w:rPr>
                    <w:t>光源投射FOV：不低于80</w:t>
                  </w:r>
                  <w:r>
                    <w:rPr>
                      <w:rFonts w:hint="eastAsia" w:ascii="宋体" w:hAnsi="宋体" w:eastAsia="宋体" w:cs="宋体"/>
                      <w:sz w:val="21"/>
                      <w:szCs w:val="21"/>
                      <w:vertAlign w:val="superscript"/>
                    </w:rPr>
                    <w:t>o</w:t>
                  </w:r>
                  <w:r>
                    <w:rPr>
                      <w:rFonts w:hint="eastAsia" w:ascii="宋体" w:hAnsi="宋体" w:eastAsia="宋体" w:cs="宋体"/>
                      <w:sz w:val="21"/>
                      <w:szCs w:val="21"/>
                    </w:rPr>
                    <w:t>（水平）、60</w:t>
                  </w:r>
                  <w:r>
                    <w:rPr>
                      <w:rFonts w:hint="eastAsia" w:ascii="宋体" w:hAnsi="宋体" w:eastAsia="宋体" w:cs="宋体"/>
                      <w:sz w:val="21"/>
                      <w:szCs w:val="21"/>
                      <w:vertAlign w:val="superscript"/>
                    </w:rPr>
                    <w:t>o</w:t>
                  </w:r>
                  <w:r>
                    <w:rPr>
                      <w:rFonts w:hint="eastAsia" w:ascii="宋体" w:hAnsi="宋体" w:eastAsia="宋体" w:cs="宋体"/>
                      <w:sz w:val="21"/>
                      <w:szCs w:val="21"/>
                    </w:rPr>
                    <w:t>（垂直）</w:t>
                  </w:r>
                </w:p>
                <w:p w14:paraId="14194146">
                  <w:pPr>
                    <w:snapToGrid w:val="0"/>
                    <w:rPr>
                      <w:rFonts w:hint="eastAsia" w:ascii="宋体" w:hAnsi="宋体" w:eastAsia="宋体" w:cs="宋体"/>
                      <w:sz w:val="21"/>
                      <w:szCs w:val="21"/>
                    </w:rPr>
                  </w:pPr>
                  <w:r>
                    <w:rPr>
                      <w:rFonts w:hint="eastAsia" w:ascii="宋体" w:hAnsi="宋体" w:eastAsia="宋体" w:cs="宋体"/>
                      <w:sz w:val="21"/>
                      <w:szCs w:val="21"/>
                    </w:rPr>
                    <w:t>红外波段：大于等于940 nm</w:t>
                  </w:r>
                </w:p>
                <w:p w14:paraId="5110E074">
                  <w:pPr>
                    <w:snapToGrid w:val="0"/>
                    <w:rPr>
                      <w:rFonts w:hint="eastAsia" w:ascii="宋体" w:hAnsi="宋体" w:eastAsia="宋体" w:cs="宋体"/>
                      <w:sz w:val="21"/>
                      <w:szCs w:val="21"/>
                    </w:rPr>
                  </w:pPr>
                  <w:r>
                    <w:rPr>
                      <w:rFonts w:hint="eastAsia" w:ascii="宋体" w:hAnsi="宋体" w:eastAsia="宋体" w:cs="宋体"/>
                      <w:sz w:val="21"/>
                      <w:szCs w:val="21"/>
                    </w:rPr>
                    <w:t>频率：不低于30 Hz</w:t>
                  </w:r>
                </w:p>
              </w:tc>
            </w:tr>
            <w:tr w14:paraId="52F7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71967B34">
                  <w:pPr>
                    <w:snapToGrid w:val="0"/>
                    <w:rPr>
                      <w:rFonts w:hint="eastAsia" w:ascii="宋体" w:hAnsi="宋体" w:eastAsia="宋体" w:cs="宋体"/>
                      <w:sz w:val="21"/>
                      <w:szCs w:val="21"/>
                    </w:rPr>
                  </w:pPr>
                  <w:r>
                    <w:rPr>
                      <w:rFonts w:hint="eastAsia" w:ascii="宋体" w:hAnsi="宋体" w:eastAsia="宋体" w:cs="宋体"/>
                      <w:sz w:val="21"/>
                      <w:szCs w:val="21"/>
                    </w:rPr>
                    <w:t>模拟实验平台</w:t>
                  </w:r>
                </w:p>
              </w:tc>
              <w:tc>
                <w:tcPr>
                  <w:tcW w:w="3878" w:type="dxa"/>
                  <w:vAlign w:val="center"/>
                </w:tcPr>
                <w:p w14:paraId="4E2C2750">
                  <w:pPr>
                    <w:snapToGrid w:val="0"/>
                    <w:rPr>
                      <w:rFonts w:hint="eastAsia" w:ascii="宋体" w:hAnsi="宋体" w:eastAsia="宋体" w:cs="宋体"/>
                      <w:sz w:val="21"/>
                      <w:szCs w:val="21"/>
                    </w:rPr>
                  </w:pPr>
                  <w:r>
                    <w:rPr>
                      <w:rFonts w:hint="eastAsia" w:ascii="宋体" w:hAnsi="宋体" w:eastAsia="宋体" w:cs="宋体"/>
                      <w:sz w:val="21"/>
                      <w:szCs w:val="21"/>
                    </w:rPr>
                    <w:t>六自由度微动平台 (电控)</w:t>
                  </w:r>
                </w:p>
                <w:p w14:paraId="7C8B076C">
                  <w:pPr>
                    <w:snapToGrid w:val="0"/>
                    <w:rPr>
                      <w:rFonts w:hint="eastAsia" w:ascii="宋体" w:hAnsi="宋体" w:eastAsia="宋体" w:cs="宋体"/>
                      <w:sz w:val="21"/>
                      <w:szCs w:val="21"/>
                    </w:rPr>
                  </w:pPr>
                  <w:r>
                    <w:rPr>
                      <w:rFonts w:hint="eastAsia" w:ascii="宋体" w:hAnsi="宋体" w:eastAsia="宋体" w:cs="宋体"/>
                      <w:sz w:val="21"/>
                      <w:szCs w:val="21"/>
                    </w:rPr>
                    <w:t>平动行程：不小于</w:t>
                  </w:r>
                  <w:r>
                    <w:rPr>
                      <w:rFonts w:hint="eastAsia" w:ascii="宋体" w:hAnsi="宋体" w:eastAsia="宋体" w:cs="宋体"/>
                      <w:sz w:val="21"/>
                      <w:szCs w:val="21"/>
                    </w:rPr>
                    <w:sym w:font="Symbol" w:char="F0B1"/>
                  </w:r>
                  <w:r>
                    <w:rPr>
                      <w:rFonts w:hint="eastAsia" w:ascii="宋体" w:hAnsi="宋体" w:eastAsia="宋体" w:cs="宋体"/>
                      <w:sz w:val="21"/>
                      <w:szCs w:val="21"/>
                    </w:rPr>
                    <w:t>5mm</w:t>
                  </w:r>
                </w:p>
                <w:p w14:paraId="6A071BC3">
                  <w:pPr>
                    <w:snapToGrid w:val="0"/>
                    <w:rPr>
                      <w:rFonts w:hint="eastAsia" w:ascii="宋体" w:hAnsi="宋体" w:eastAsia="宋体" w:cs="宋体"/>
                      <w:sz w:val="21"/>
                      <w:szCs w:val="21"/>
                    </w:rPr>
                  </w:pPr>
                  <w:r>
                    <w:rPr>
                      <w:rFonts w:hint="eastAsia" w:ascii="宋体" w:hAnsi="宋体" w:eastAsia="宋体" w:cs="宋体"/>
                      <w:sz w:val="21"/>
                      <w:szCs w:val="21"/>
                    </w:rPr>
                    <w:t>转动行程：不小于</w:t>
                  </w:r>
                  <w:r>
                    <w:rPr>
                      <w:rFonts w:hint="eastAsia" w:ascii="宋体" w:hAnsi="宋体" w:eastAsia="宋体" w:cs="宋体"/>
                      <w:sz w:val="21"/>
                      <w:szCs w:val="21"/>
                    </w:rPr>
                    <w:sym w:font="Symbol" w:char="F0B1"/>
                  </w:r>
                  <w:r>
                    <w:rPr>
                      <w:rFonts w:hint="eastAsia" w:ascii="宋体" w:hAnsi="宋体" w:eastAsia="宋体" w:cs="宋体"/>
                      <w:sz w:val="21"/>
                      <w:szCs w:val="21"/>
                    </w:rPr>
                    <w:t>15</w:t>
                  </w:r>
                  <w:r>
                    <w:rPr>
                      <w:rFonts w:hint="eastAsia" w:ascii="宋体" w:hAnsi="宋体" w:eastAsia="宋体" w:cs="宋体"/>
                      <w:sz w:val="21"/>
                      <w:szCs w:val="21"/>
                      <w:vertAlign w:val="superscript"/>
                    </w:rPr>
                    <w:t>o</w:t>
                  </w:r>
                </w:p>
                <w:p w14:paraId="22B361B5">
                  <w:pPr>
                    <w:snapToGrid w:val="0"/>
                    <w:rPr>
                      <w:rFonts w:hint="eastAsia" w:ascii="宋体" w:hAnsi="宋体" w:eastAsia="宋体" w:cs="宋体"/>
                      <w:sz w:val="21"/>
                      <w:szCs w:val="21"/>
                    </w:rPr>
                  </w:pPr>
                  <w:r>
                    <w:rPr>
                      <w:rFonts w:hint="eastAsia" w:ascii="宋体" w:hAnsi="宋体" w:eastAsia="宋体" w:cs="宋体"/>
                      <w:sz w:val="21"/>
                      <w:szCs w:val="21"/>
                    </w:rPr>
                    <w:t>倾角行程：不小于</w:t>
                  </w:r>
                  <w:r>
                    <w:rPr>
                      <w:rFonts w:hint="eastAsia" w:ascii="宋体" w:hAnsi="宋体" w:eastAsia="宋体" w:cs="宋体"/>
                      <w:sz w:val="21"/>
                      <w:szCs w:val="21"/>
                    </w:rPr>
                    <w:sym w:font="Symbol" w:char="F0B1"/>
                  </w:r>
                  <w:r>
                    <w:rPr>
                      <w:rFonts w:hint="eastAsia" w:ascii="宋体" w:hAnsi="宋体" w:eastAsia="宋体" w:cs="宋体"/>
                      <w:sz w:val="21"/>
                      <w:szCs w:val="21"/>
                    </w:rPr>
                    <w:t>5</w:t>
                  </w:r>
                  <w:r>
                    <w:rPr>
                      <w:rFonts w:hint="eastAsia" w:ascii="宋体" w:hAnsi="宋体" w:eastAsia="宋体" w:cs="宋体"/>
                      <w:sz w:val="21"/>
                      <w:szCs w:val="21"/>
                      <w:vertAlign w:val="superscript"/>
                    </w:rPr>
                    <w:t>o</w:t>
                  </w:r>
                </w:p>
              </w:tc>
            </w:tr>
            <w:tr w14:paraId="6870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6BA65272">
                  <w:pPr>
                    <w:snapToGrid w:val="0"/>
                    <w:rPr>
                      <w:rFonts w:hint="eastAsia" w:ascii="宋体" w:hAnsi="宋体" w:eastAsia="宋体" w:cs="宋体"/>
                      <w:sz w:val="21"/>
                      <w:szCs w:val="21"/>
                    </w:rPr>
                  </w:pPr>
                  <w:r>
                    <w:rPr>
                      <w:rFonts w:hint="eastAsia" w:ascii="宋体" w:hAnsi="宋体" w:eastAsia="宋体" w:cs="宋体"/>
                      <w:sz w:val="21"/>
                      <w:szCs w:val="21"/>
                    </w:rPr>
                    <w:t>仿真平台</w:t>
                  </w:r>
                </w:p>
              </w:tc>
              <w:tc>
                <w:tcPr>
                  <w:tcW w:w="3878" w:type="dxa"/>
                  <w:vAlign w:val="center"/>
                </w:tcPr>
                <w:p w14:paraId="0B34643F">
                  <w:pPr>
                    <w:snapToGrid w:val="0"/>
                    <w:rPr>
                      <w:rFonts w:hint="eastAsia" w:ascii="宋体" w:hAnsi="宋体" w:eastAsia="宋体" w:cs="宋体"/>
                      <w:sz w:val="21"/>
                      <w:szCs w:val="21"/>
                    </w:rPr>
                  </w:pPr>
                  <w:r>
                    <w:rPr>
                      <w:rFonts w:hint="eastAsia" w:ascii="宋体" w:hAnsi="宋体" w:eastAsia="宋体" w:cs="宋体"/>
                      <w:sz w:val="21"/>
                      <w:szCs w:val="21"/>
                    </w:rPr>
                    <w:t>三坐标手动位移台，X/Y/Z行程：不小于150mm，精度优于0.02mm</w:t>
                  </w:r>
                </w:p>
                <w:p w14:paraId="670E8D3E">
                  <w:pPr>
                    <w:snapToGrid w:val="0"/>
                    <w:rPr>
                      <w:rFonts w:hint="eastAsia" w:ascii="宋体" w:hAnsi="宋体" w:eastAsia="宋体" w:cs="宋体"/>
                      <w:sz w:val="21"/>
                      <w:szCs w:val="21"/>
                    </w:rPr>
                  </w:pPr>
                  <w:r>
                    <w:rPr>
                      <w:rFonts w:hint="eastAsia" w:ascii="宋体" w:hAnsi="宋体" w:eastAsia="宋体" w:cs="宋体"/>
                      <w:sz w:val="21"/>
                      <w:szCs w:val="21"/>
                    </w:rPr>
                    <w:t>旋转位移台：行程不小于360°，精度优于1°</w:t>
                  </w:r>
                </w:p>
                <w:p w14:paraId="613E1615">
                  <w:pPr>
                    <w:snapToGrid w:val="0"/>
                    <w:rPr>
                      <w:rFonts w:hint="eastAsia" w:ascii="宋体" w:hAnsi="宋体" w:eastAsia="宋体" w:cs="宋体"/>
                      <w:sz w:val="21"/>
                      <w:szCs w:val="21"/>
                    </w:rPr>
                  </w:pPr>
                  <w:r>
                    <w:rPr>
                      <w:rFonts w:hint="eastAsia" w:ascii="宋体" w:hAnsi="宋体" w:eastAsia="宋体" w:cs="宋体"/>
                      <w:sz w:val="21"/>
                      <w:szCs w:val="21"/>
                    </w:rPr>
                    <w:t>水平位移台：行程不小于500mm，精度优于0.02mm</w:t>
                  </w:r>
                </w:p>
              </w:tc>
            </w:tr>
            <w:tr w14:paraId="2A4B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6955928A">
                  <w:pPr>
                    <w:snapToGrid w:val="0"/>
                    <w:rPr>
                      <w:rFonts w:hint="eastAsia" w:ascii="宋体" w:hAnsi="宋体" w:eastAsia="宋体" w:cs="宋体"/>
                      <w:sz w:val="21"/>
                      <w:szCs w:val="21"/>
                    </w:rPr>
                  </w:pPr>
                  <w:r>
                    <w:rPr>
                      <w:rFonts w:hint="eastAsia" w:ascii="宋体" w:hAnsi="宋体" w:eastAsia="宋体" w:cs="宋体"/>
                      <w:sz w:val="21"/>
                      <w:szCs w:val="21"/>
                    </w:rPr>
                    <w:t>平移定位精度</w:t>
                  </w:r>
                </w:p>
              </w:tc>
              <w:tc>
                <w:tcPr>
                  <w:tcW w:w="3878" w:type="dxa"/>
                  <w:vAlign w:val="center"/>
                </w:tcPr>
                <w:p w14:paraId="02DEF3DC">
                  <w:pPr>
                    <w:snapToGrid w:val="0"/>
                    <w:rPr>
                      <w:rFonts w:hint="eastAsia" w:ascii="宋体" w:hAnsi="宋体" w:eastAsia="宋体" w:cs="宋体"/>
                      <w:sz w:val="21"/>
                      <w:szCs w:val="21"/>
                    </w:rPr>
                  </w:pPr>
                  <w:r>
                    <w:rPr>
                      <w:rFonts w:hint="eastAsia" w:ascii="宋体" w:hAnsi="宋体" w:eastAsia="宋体" w:cs="宋体"/>
                      <w:sz w:val="21"/>
                      <w:szCs w:val="21"/>
                    </w:rPr>
                    <w:t>优于0.5 mm</w:t>
                  </w:r>
                </w:p>
              </w:tc>
            </w:tr>
            <w:tr w14:paraId="188E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63AECD39">
                  <w:pPr>
                    <w:snapToGrid w:val="0"/>
                    <w:rPr>
                      <w:rFonts w:hint="eastAsia" w:ascii="宋体" w:hAnsi="宋体" w:eastAsia="宋体" w:cs="宋体"/>
                      <w:sz w:val="21"/>
                      <w:szCs w:val="21"/>
                    </w:rPr>
                  </w:pPr>
                  <w:r>
                    <w:rPr>
                      <w:rFonts w:hint="eastAsia" w:ascii="宋体" w:hAnsi="宋体" w:eastAsia="宋体" w:cs="宋体"/>
                      <w:sz w:val="21"/>
                      <w:szCs w:val="21"/>
                    </w:rPr>
                    <w:t>转动定位精度</w:t>
                  </w:r>
                </w:p>
              </w:tc>
              <w:tc>
                <w:tcPr>
                  <w:tcW w:w="3878" w:type="dxa"/>
                  <w:vAlign w:val="center"/>
                </w:tcPr>
                <w:p w14:paraId="4D7992E9">
                  <w:pPr>
                    <w:snapToGrid w:val="0"/>
                    <w:rPr>
                      <w:rFonts w:hint="eastAsia" w:ascii="宋体" w:hAnsi="宋体" w:eastAsia="宋体" w:cs="宋体"/>
                      <w:sz w:val="21"/>
                      <w:szCs w:val="21"/>
                    </w:rPr>
                  </w:pPr>
                  <w:r>
                    <w:rPr>
                      <w:rFonts w:hint="eastAsia" w:ascii="宋体" w:hAnsi="宋体" w:eastAsia="宋体" w:cs="宋体"/>
                      <w:sz w:val="21"/>
                      <w:szCs w:val="21"/>
                    </w:rPr>
                    <w:t>优于50 mrad（theta角）</w:t>
                  </w:r>
                </w:p>
              </w:tc>
            </w:tr>
            <w:tr w14:paraId="7371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3C3B2147">
                  <w:pPr>
                    <w:snapToGrid w:val="0"/>
                    <w:rPr>
                      <w:rFonts w:hint="eastAsia" w:ascii="宋体" w:hAnsi="宋体" w:eastAsia="宋体" w:cs="宋体"/>
                      <w:sz w:val="21"/>
                      <w:szCs w:val="21"/>
                    </w:rPr>
                  </w:pPr>
                  <w:r>
                    <w:rPr>
                      <w:rFonts w:hint="eastAsia" w:ascii="宋体" w:hAnsi="宋体" w:eastAsia="宋体" w:cs="宋体"/>
                      <w:sz w:val="21"/>
                      <w:szCs w:val="21"/>
                    </w:rPr>
                    <w:t>对光位移量计算精度</w:t>
                  </w:r>
                </w:p>
              </w:tc>
              <w:tc>
                <w:tcPr>
                  <w:tcW w:w="3878" w:type="dxa"/>
                  <w:vAlign w:val="center"/>
                </w:tcPr>
                <w:p w14:paraId="17B724C0">
                  <w:pPr>
                    <w:snapToGrid w:val="0"/>
                    <w:rPr>
                      <w:rFonts w:hint="eastAsia" w:ascii="宋体" w:hAnsi="宋体" w:eastAsia="宋体" w:cs="宋体"/>
                      <w:sz w:val="21"/>
                      <w:szCs w:val="21"/>
                    </w:rPr>
                  </w:pPr>
                  <w:r>
                    <w:rPr>
                      <w:rFonts w:hint="eastAsia" w:ascii="宋体" w:hAnsi="宋体" w:eastAsia="宋体" w:cs="宋体"/>
                      <w:sz w:val="21"/>
                      <w:szCs w:val="21"/>
                    </w:rPr>
                    <w:t>优于0.2 mm</w:t>
                  </w:r>
                </w:p>
              </w:tc>
            </w:tr>
            <w:tr w14:paraId="64A1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7CAA0C65">
                  <w:pPr>
                    <w:snapToGrid w:val="0"/>
                    <w:rPr>
                      <w:rFonts w:hint="eastAsia" w:ascii="宋体" w:hAnsi="宋体" w:eastAsia="宋体" w:cs="宋体"/>
                      <w:sz w:val="21"/>
                      <w:szCs w:val="21"/>
                    </w:rPr>
                  </w:pPr>
                  <w:r>
                    <w:rPr>
                      <w:rFonts w:hint="eastAsia" w:ascii="宋体" w:hAnsi="宋体" w:eastAsia="宋体" w:cs="宋体"/>
                      <w:sz w:val="21"/>
                      <w:szCs w:val="21"/>
                    </w:rPr>
                    <w:t>软件接口</w:t>
                  </w:r>
                </w:p>
              </w:tc>
              <w:tc>
                <w:tcPr>
                  <w:tcW w:w="3878" w:type="dxa"/>
                  <w:vAlign w:val="center"/>
                </w:tcPr>
                <w:p w14:paraId="3442F043">
                  <w:pPr>
                    <w:snapToGrid w:val="0"/>
                    <w:rPr>
                      <w:rFonts w:hint="eastAsia" w:ascii="宋体" w:hAnsi="宋体" w:eastAsia="宋体" w:cs="宋体"/>
                      <w:sz w:val="21"/>
                      <w:szCs w:val="21"/>
                    </w:rPr>
                  </w:pPr>
                  <w:r>
                    <w:rPr>
                      <w:rFonts w:hint="eastAsia" w:ascii="宋体" w:hAnsi="宋体" w:eastAsia="宋体" w:cs="宋体"/>
                      <w:sz w:val="21"/>
                      <w:szCs w:val="21"/>
                    </w:rPr>
                    <w:t>SDK：Python</w:t>
                  </w:r>
                </w:p>
              </w:tc>
            </w:tr>
            <w:tr w14:paraId="5B17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1001" w:type="dxa"/>
                  <w:vAlign w:val="center"/>
                </w:tcPr>
                <w:p w14:paraId="3CE31745">
                  <w:pPr>
                    <w:snapToGrid w:val="0"/>
                    <w:rPr>
                      <w:rFonts w:hint="eastAsia" w:ascii="宋体" w:hAnsi="宋体" w:eastAsia="宋体" w:cs="宋体"/>
                      <w:sz w:val="21"/>
                      <w:szCs w:val="21"/>
                    </w:rPr>
                  </w:pPr>
                  <w:r>
                    <w:rPr>
                      <w:rFonts w:hint="eastAsia" w:ascii="宋体" w:hAnsi="宋体" w:eastAsia="宋体" w:cs="宋体"/>
                      <w:sz w:val="21"/>
                      <w:szCs w:val="21"/>
                    </w:rPr>
                    <w:t>软件功能</w:t>
                  </w:r>
                </w:p>
              </w:tc>
              <w:tc>
                <w:tcPr>
                  <w:tcW w:w="3878" w:type="dxa"/>
                  <w:vAlign w:val="center"/>
                </w:tcPr>
                <w:p w14:paraId="582A4A06">
                  <w:pPr>
                    <w:snapToGrid w:val="0"/>
                    <w:rPr>
                      <w:rFonts w:hint="eastAsia" w:ascii="宋体" w:hAnsi="宋体" w:eastAsia="宋体" w:cs="宋体"/>
                      <w:sz w:val="21"/>
                      <w:szCs w:val="21"/>
                    </w:rPr>
                  </w:pPr>
                  <w:r>
                    <w:rPr>
                      <w:rFonts w:hint="eastAsia" w:ascii="宋体" w:hAnsi="宋体" w:eastAsia="宋体" w:cs="宋体"/>
                      <w:sz w:val="21"/>
                      <w:szCs w:val="21"/>
                    </w:rPr>
                    <w:t>位姿参数、光斑对准位移量、彩色图像、红外图像、深度图像、3D模型展示</w:t>
                  </w:r>
                </w:p>
              </w:tc>
            </w:tr>
          </w:tbl>
          <w:p w14:paraId="66B9B5CF">
            <w:pPr>
              <w:numPr>
                <w:numId w:val="0"/>
              </w:numPr>
              <w:spacing w:line="360" w:lineRule="exact"/>
              <w:ind w:leftChars="0"/>
              <w:jc w:val="left"/>
              <w:rPr>
                <w:rFonts w:hint="eastAsia"/>
                <w:bCs/>
                <w:sz w:val="21"/>
                <w:szCs w:val="21"/>
              </w:rPr>
            </w:pPr>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05" w:type="dxa"/>
            <w:vAlign w:val="center"/>
          </w:tcPr>
          <w:p w14:paraId="21D5CC9B">
            <w:pPr>
              <w:spacing w:line="240" w:lineRule="atLeast"/>
              <w:jc w:val="center"/>
            </w:pPr>
            <w:r>
              <w:t>2</w:t>
            </w:r>
          </w:p>
        </w:tc>
        <w:tc>
          <w:tcPr>
            <w:tcW w:w="1561"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105" w:type="dxa"/>
            <w:tcBorders>
              <w:top w:val="single" w:color="auto" w:sz="4" w:space="0"/>
              <w:left w:val="nil"/>
              <w:bottom w:val="single" w:color="auto" w:sz="4" w:space="0"/>
              <w:right w:val="single" w:color="auto" w:sz="4" w:space="0"/>
            </w:tcBorders>
            <w:shd w:val="clear" w:color="auto" w:fill="auto"/>
            <w:vAlign w:val="center"/>
          </w:tcPr>
          <w:p w14:paraId="285B9B46">
            <w:pPr>
              <w:snapToGrid w:val="0"/>
              <w:rPr>
                <w:rFonts w:hint="eastAsia" w:ascii="宋体" w:hAnsi="宋体" w:eastAsia="宋体" w:cs="宋体"/>
                <w:sz w:val="21"/>
                <w:szCs w:val="21"/>
              </w:rPr>
            </w:pPr>
            <w:r>
              <w:rPr>
                <w:rFonts w:hint="eastAsia" w:ascii="宋体" w:hAnsi="宋体" w:eastAsia="宋体" w:cs="宋体"/>
                <w:sz w:val="21"/>
                <w:szCs w:val="21"/>
              </w:rPr>
              <w:t>企业需满足以下资质要求:</w:t>
            </w:r>
          </w:p>
          <w:p w14:paraId="5C918437">
            <w:pPr>
              <w:pStyle w:val="5"/>
              <w:numPr>
                <w:ilvl w:val="0"/>
                <w:numId w:val="2"/>
              </w:numPr>
              <w:snapToGrid w:val="0"/>
              <w:ind w:left="0" w:firstLine="0"/>
              <w:rPr>
                <w:rFonts w:hint="eastAsia" w:ascii="宋体" w:hAnsi="宋体" w:eastAsia="宋体" w:cs="宋体"/>
                <w:sz w:val="21"/>
                <w:szCs w:val="21"/>
              </w:rPr>
            </w:pPr>
            <w:r>
              <w:rPr>
                <w:rFonts w:hint="eastAsia" w:ascii="宋体" w:hAnsi="宋体" w:eastAsia="宋体" w:cs="宋体"/>
                <w:sz w:val="21"/>
                <w:szCs w:val="21"/>
              </w:rPr>
              <w:t>实验室自动化改造(研发/测试等)项目案例或者工业视觉开发项目/产品案例不少于2项，提供相关证明材料;</w:t>
            </w:r>
          </w:p>
          <w:p w14:paraId="2F06EFC9">
            <w:pPr>
              <w:pStyle w:val="5"/>
              <w:numPr>
                <w:ilvl w:val="0"/>
                <w:numId w:val="2"/>
              </w:numPr>
              <w:snapToGrid w:val="0"/>
              <w:ind w:left="0" w:firstLine="0"/>
              <w:rPr>
                <w:rFonts w:hint="eastAsia" w:ascii="宋体" w:hAnsi="宋体" w:eastAsia="宋体" w:cs="宋体"/>
                <w:sz w:val="21"/>
                <w:szCs w:val="21"/>
              </w:rPr>
            </w:pPr>
            <w:r>
              <w:rPr>
                <w:rFonts w:hint="eastAsia" w:ascii="宋体" w:hAnsi="宋体" w:eastAsia="宋体" w:cs="宋体"/>
                <w:sz w:val="21"/>
                <w:szCs w:val="21"/>
              </w:rPr>
              <w:t>IS09001、IS014001、IS045001三体系认证</w:t>
            </w:r>
          </w:p>
          <w:p w14:paraId="52FFF47A">
            <w:pPr>
              <w:pStyle w:val="5"/>
              <w:numPr>
                <w:ilvl w:val="0"/>
                <w:numId w:val="2"/>
              </w:numPr>
              <w:snapToGrid w:val="0"/>
              <w:ind w:left="0" w:firstLine="0"/>
              <w:rPr>
                <w:rFonts w:hint="eastAsia" w:ascii="宋体" w:hAnsi="宋体" w:eastAsia="宋体" w:cs="宋体"/>
                <w:b w:val="0"/>
                <w:bCs w:val="0"/>
                <w:sz w:val="21"/>
                <w:szCs w:val="21"/>
              </w:rPr>
            </w:pPr>
            <w:r>
              <w:rPr>
                <w:rFonts w:hint="eastAsia" w:ascii="宋体" w:hAnsi="宋体" w:eastAsia="宋体" w:cs="宋体"/>
                <w:b w:val="0"/>
                <w:bCs w:val="0"/>
                <w:sz w:val="21"/>
                <w:szCs w:val="21"/>
              </w:rPr>
              <w:t>注册资本:500万元以上</w:t>
            </w:r>
          </w:p>
          <w:p w14:paraId="73FF1601">
            <w:pPr>
              <w:pStyle w:val="5"/>
              <w:numPr>
                <w:ilvl w:val="0"/>
                <w:numId w:val="2"/>
              </w:numPr>
              <w:snapToGrid w:val="0"/>
              <w:ind w:left="0" w:firstLine="0"/>
              <w:rPr>
                <w:rFonts w:hint="eastAsia" w:ascii="宋体" w:hAnsi="宋体" w:eastAsia="宋体" w:cs="宋体"/>
                <w:b w:val="0"/>
                <w:bCs w:val="0"/>
                <w:sz w:val="21"/>
                <w:szCs w:val="21"/>
              </w:rPr>
            </w:pPr>
            <w:r>
              <w:rPr>
                <w:rFonts w:hint="eastAsia" w:ascii="宋体" w:hAnsi="宋体" w:eastAsia="宋体" w:cs="宋体"/>
                <w:b w:val="0"/>
                <w:bCs w:val="0"/>
                <w:sz w:val="21"/>
                <w:szCs w:val="21"/>
              </w:rPr>
              <w:t>社保人数:不少于10人</w:t>
            </w:r>
          </w:p>
          <w:p w14:paraId="2F83B770">
            <w:pPr>
              <w:tabs>
                <w:tab w:val="left" w:pos="6915"/>
              </w:tabs>
              <w:spacing w:before="120"/>
              <w:jc w:val="left"/>
              <w:rPr>
                <w:rFonts w:hint="eastAsia" w:ascii="宋体" w:hAnsi="宋体" w:eastAsia="宋体" w:cs="宋体"/>
                <w:sz w:val="21"/>
                <w:szCs w:val="21"/>
              </w:rPr>
            </w:pPr>
            <w:r>
              <w:rPr>
                <w:rFonts w:hint="eastAsia" w:ascii="宋体" w:hAnsi="宋体" w:eastAsia="宋体" w:cs="宋体"/>
                <w:b/>
                <w:sz w:val="21"/>
                <w:szCs w:val="21"/>
              </w:rPr>
              <w:t>交货期：</w:t>
            </w:r>
            <w:r>
              <w:rPr>
                <w:rFonts w:hint="eastAsia" w:ascii="宋体" w:hAnsi="宋体" w:eastAsia="宋体" w:cs="宋体"/>
                <w:sz w:val="21"/>
                <w:szCs w:val="21"/>
              </w:rPr>
              <w:t>合同签订后5个月内交付</w:t>
            </w:r>
          </w:p>
          <w:p w14:paraId="499C4986">
            <w:pPr>
              <w:tabs>
                <w:tab w:val="left" w:pos="6915"/>
              </w:tabs>
              <w:spacing w:before="120"/>
              <w:jc w:val="left"/>
              <w:rPr>
                <w:rFonts w:hint="eastAsia" w:ascii="宋体" w:hAnsi="宋体" w:eastAsia="宋体" w:cs="宋体"/>
                <w:sz w:val="21"/>
                <w:szCs w:val="21"/>
              </w:rPr>
            </w:pPr>
            <w:r>
              <w:rPr>
                <w:rFonts w:hint="eastAsia" w:ascii="宋体" w:hAnsi="宋体" w:eastAsia="宋体" w:cs="宋体"/>
                <w:b/>
                <w:sz w:val="21"/>
                <w:szCs w:val="21"/>
              </w:rPr>
              <w:t>交付进度：</w:t>
            </w:r>
            <w:r>
              <w:rPr>
                <w:rFonts w:hint="eastAsia" w:ascii="宋体" w:hAnsi="宋体" w:eastAsia="宋体" w:cs="宋体"/>
                <w:sz w:val="21"/>
                <w:szCs w:val="21"/>
              </w:rPr>
              <w:t>合同签订后5个月内交付并完成安装调试</w:t>
            </w:r>
          </w:p>
          <w:p w14:paraId="063DF81A">
            <w:pPr>
              <w:tabs>
                <w:tab w:val="left" w:pos="6915"/>
              </w:tabs>
              <w:spacing w:before="120"/>
              <w:jc w:val="left"/>
              <w:rPr>
                <w:rFonts w:hint="eastAsia" w:ascii="宋体" w:hAnsi="宋体" w:eastAsia="宋体" w:cs="宋体"/>
                <w:b/>
                <w:sz w:val="21"/>
                <w:szCs w:val="21"/>
              </w:rPr>
            </w:pPr>
            <w:r>
              <w:rPr>
                <w:rFonts w:hint="eastAsia" w:ascii="宋体" w:hAnsi="宋体" w:eastAsia="宋体" w:cs="宋体"/>
                <w:b/>
                <w:sz w:val="21"/>
                <w:szCs w:val="21"/>
              </w:rPr>
              <w:t>付款方式：</w:t>
            </w:r>
          </w:p>
          <w:p w14:paraId="0181032A">
            <w:pPr>
              <w:tabs>
                <w:tab w:val="left" w:pos="6915"/>
              </w:tabs>
              <w:jc w:val="left"/>
              <w:rPr>
                <w:rFonts w:hint="eastAsia" w:ascii="宋体" w:hAnsi="宋体" w:eastAsia="宋体" w:cs="宋体"/>
                <w:b/>
                <w:sz w:val="21"/>
                <w:szCs w:val="21"/>
              </w:rPr>
            </w:pPr>
            <w:r>
              <w:rPr>
                <w:rFonts w:hint="eastAsia" w:ascii="宋体" w:hAnsi="宋体" w:eastAsia="宋体" w:cs="宋体"/>
                <w:sz w:val="21"/>
                <w:szCs w:val="21"/>
              </w:rPr>
              <w:t>合同签订后预付合同总额的30%，多目相机、结构光定位系统和模拟实验平台交付安装后支付合同总额的50%，系统安装调试验收合格后支付合同总额的20%.</w:t>
            </w:r>
          </w:p>
          <w:p w14:paraId="30AD6008">
            <w:pPr>
              <w:tabs>
                <w:tab w:val="left" w:pos="6915"/>
              </w:tabs>
              <w:spacing w:before="120"/>
              <w:jc w:val="left"/>
              <w:rPr>
                <w:rFonts w:hint="eastAsia" w:ascii="宋体" w:hAnsi="宋体" w:eastAsia="宋体" w:cs="宋体"/>
                <w:b/>
                <w:sz w:val="21"/>
                <w:szCs w:val="21"/>
              </w:rPr>
            </w:pPr>
            <w:r>
              <w:rPr>
                <w:rFonts w:hint="eastAsia" w:ascii="宋体" w:hAnsi="宋体" w:eastAsia="宋体" w:cs="宋体"/>
                <w:b/>
                <w:sz w:val="21"/>
                <w:szCs w:val="21"/>
              </w:rPr>
              <w:t>验收指标及验收要求：</w:t>
            </w:r>
          </w:p>
          <w:p w14:paraId="33BE170C">
            <w:pPr>
              <w:tabs>
                <w:tab w:val="left" w:pos="6915"/>
              </w:tabs>
              <w:jc w:val="left"/>
              <w:rPr>
                <w:rFonts w:hint="eastAsia" w:ascii="宋体" w:hAnsi="宋体" w:eastAsia="宋体" w:cs="宋体"/>
                <w:sz w:val="21"/>
                <w:szCs w:val="21"/>
                <w:lang w:val="en-US" w:eastAsia="zh-CN"/>
              </w:rPr>
            </w:pPr>
            <w:r>
              <w:rPr>
                <w:rFonts w:hint="eastAsia" w:ascii="宋体" w:hAnsi="宋体" w:eastAsia="宋体" w:cs="宋体"/>
                <w:sz w:val="21"/>
                <w:szCs w:val="21"/>
              </w:rPr>
              <w:t>三维定位精度：平移定位精度优于0.5 mm；转动定位精度优于50 mrad（theta角），采用电控位移台测试; 光斑对准位移量计算精度：优于0.2 mm</w:t>
            </w:r>
            <w:r>
              <w:rPr>
                <w:rFonts w:hint="eastAsia" w:ascii="宋体" w:hAnsi="宋体" w:eastAsia="宋体" w:cs="宋体"/>
                <w:sz w:val="21"/>
                <w:szCs w:val="21"/>
                <w:lang w:eastAsia="zh-CN"/>
              </w:rPr>
              <w:t>。</w:t>
            </w:r>
          </w:p>
          <w:p w14:paraId="19D406A1">
            <w:pPr>
              <w:tabs>
                <w:tab w:val="left" w:pos="6915"/>
              </w:tabs>
              <w:spacing w:before="120"/>
              <w:jc w:val="left"/>
              <w:rPr>
                <w:rFonts w:hint="eastAsia" w:ascii="宋体" w:hAnsi="宋体" w:eastAsia="宋体" w:cs="宋体"/>
                <w:b/>
                <w:sz w:val="21"/>
                <w:szCs w:val="21"/>
              </w:rPr>
            </w:pPr>
            <w:r>
              <w:rPr>
                <w:rFonts w:hint="eastAsia" w:ascii="宋体" w:hAnsi="宋体" w:eastAsia="宋体" w:cs="宋体"/>
                <w:b/>
                <w:sz w:val="21"/>
                <w:szCs w:val="21"/>
              </w:rPr>
              <w:t>保修及售后服务：</w:t>
            </w:r>
            <w:r>
              <w:rPr>
                <w:rFonts w:hint="eastAsia" w:ascii="宋体" w:hAnsi="宋体" w:eastAsia="宋体" w:cs="宋体"/>
                <w:sz w:val="21"/>
                <w:szCs w:val="21"/>
              </w:rPr>
              <w:t>质保期一年</w:t>
            </w:r>
          </w:p>
          <w:p w14:paraId="4517C6CA">
            <w:pPr>
              <w:tabs>
                <w:tab w:val="left" w:pos="6915"/>
              </w:tabs>
              <w:spacing w:line="240" w:lineRule="atLeast"/>
              <w:jc w:val="left"/>
              <w:rPr>
                <w:rFonts w:hint="eastAsia" w:ascii="Times New Roman" w:hAnsi="Times New Roman" w:eastAsia="宋体" w:cs="Times New Roman"/>
                <w:szCs w:val="24"/>
              </w:rPr>
            </w:pPr>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p>
    <w:p w14:paraId="0DED7F3B">
      <w:pPr>
        <w:ind w:right="840" w:firstLine="5040" w:firstLineChars="2100"/>
        <w:rPr>
          <w:sz w:val="24"/>
        </w:rPr>
      </w:pPr>
    </w:p>
    <w:p w14:paraId="287DDEA5">
      <w:pPr>
        <w:ind w:right="840" w:firstLine="5040" w:firstLineChars="2100"/>
        <w:rPr>
          <w:sz w:val="24"/>
        </w:rPr>
      </w:pPr>
    </w:p>
    <w:p w14:paraId="663E47C9">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p w14:paraId="7A2AB8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DA72DD"/>
    <w:multiLevelType w:val="multilevel"/>
    <w:tmpl w:val="37DA72DD"/>
    <w:lvl w:ilvl="0" w:tentative="0">
      <w:start w:val="1"/>
      <w:numFmt w:val="decimal"/>
      <w:pStyle w:val="5"/>
      <w:lvlText w:val="%1."/>
      <w:lvlJc w:val="left"/>
      <w:pPr>
        <w:ind w:left="720" w:hanging="360"/>
      </w:pPr>
      <w:rPr>
        <w:rFonts w:hint="default" w:ascii="Times New Roman" w:hAnsi="Times New Roman"/>
        <w:sz w:val="18"/>
        <w:szCs w:val="1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EDB22F4"/>
    <w:multiLevelType w:val="multilevel"/>
    <w:tmpl w:val="6EDB22F4"/>
    <w:lvl w:ilvl="0" w:tentative="0">
      <w:start w:val="1"/>
      <w:numFmt w:val="decimal"/>
      <w:lvlText w:val="%1."/>
      <w:lvlJc w:val="left"/>
      <w:pPr>
        <w:ind w:left="720" w:hanging="360"/>
      </w:pPr>
      <w:rPr>
        <w:rFonts w:hint="default" w:ascii="宋体" w:hAnsi="宋体" w:eastAsia="宋体"/>
        <w:sz w:val="18"/>
        <w:szCs w:val="16"/>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752FDE"/>
    <w:rsid w:val="3F752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autoRedefine/>
    <w:qFormat/>
    <w:uiPriority w:val="99"/>
    <w:pPr>
      <w:widowControl/>
      <w:numPr>
        <w:ilvl w:val="0"/>
        <w:numId w:val="1"/>
      </w:numPr>
      <w:contextualSpacing/>
      <w:jc w:val="left"/>
      <w:textAlignment w:val="center"/>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2025-10-23T08:03:00Z</dcterms:created>
  <dc:creator>amour</dc:creator>
  <cp:lastModifiedBy>amour</cp:lastModifiedBy>
  <dcterms:modified xsi:type="dcterms:W3CDTF">2025-10-23T08:08:48Z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9D991821997B42A9B5A50F8C5BDD7F3B_11</vt:lpwstr>
  </property>
  <property fmtid="{D5CDD505-2E9C-101B-9397-08002B2CF9AE}" pid="4" name="KSOTemplateDocerSaveRecord">
    <vt:lpwstr>eyJoZGlkIjoiN2RmNGQ2MDc0ZGFiNmIyNjNmMmJiNzcxMzg1OWQzY2YiLCJ1c2VySWQiOiIxMDQxNDY4Njc5In0=</vt:lpwstr>
  </property>
</Properties>
</file>