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C9955E">
      <w:pPr>
        <w:jc w:val="center"/>
        <w:rPr>
          <w:sz w:val="36"/>
        </w:rPr>
      </w:pPr>
      <w:r>
        <w:rPr>
          <w:sz w:val="36"/>
        </w:rPr>
        <w:t>中国科学技术大学国家同步辐射实验室</w:t>
      </w:r>
    </w:p>
    <w:p w14:paraId="0973E65B">
      <w:pPr>
        <w:jc w:val="center"/>
        <w:rPr>
          <w:sz w:val="36"/>
        </w:rPr>
      </w:pPr>
      <w:r>
        <w:rPr>
          <w:rFonts w:hint="eastAsia"/>
          <w:sz w:val="36"/>
        </w:rPr>
        <w:t>技术指标供应商确认表</w:t>
      </w:r>
    </w:p>
    <w:p w14:paraId="3E58F52B"/>
    <w:tbl>
      <w:tblPr>
        <w:tblStyle w:val="6"/>
        <w:tblW w:w="9781" w:type="dxa"/>
        <w:tblInd w:w="-5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422"/>
        <w:gridCol w:w="5244"/>
        <w:gridCol w:w="1418"/>
        <w:gridCol w:w="992"/>
      </w:tblGrid>
      <w:tr w14:paraId="3979F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705" w:type="dxa"/>
            <w:vAlign w:val="center"/>
          </w:tcPr>
          <w:p w14:paraId="75C250BA">
            <w:pPr>
              <w:spacing w:line="24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序号</w:t>
            </w:r>
          </w:p>
        </w:tc>
        <w:tc>
          <w:tcPr>
            <w:tcW w:w="1422" w:type="dxa"/>
            <w:vAlign w:val="center"/>
          </w:tcPr>
          <w:p w14:paraId="3A9FF52B">
            <w:pPr>
              <w:spacing w:line="24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名称</w:t>
            </w:r>
          </w:p>
        </w:tc>
        <w:tc>
          <w:tcPr>
            <w:tcW w:w="5244" w:type="dxa"/>
            <w:vAlign w:val="center"/>
          </w:tcPr>
          <w:p w14:paraId="258D475E">
            <w:pPr>
              <w:spacing w:line="24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技术指标</w:t>
            </w:r>
          </w:p>
        </w:tc>
        <w:tc>
          <w:tcPr>
            <w:tcW w:w="1418" w:type="dxa"/>
            <w:vAlign w:val="center"/>
          </w:tcPr>
          <w:p w14:paraId="37F7A556">
            <w:pPr>
              <w:spacing w:line="240" w:lineRule="atLeas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偏离说明</w:t>
            </w:r>
          </w:p>
          <w:p w14:paraId="328E92F5">
            <w:pPr>
              <w:spacing w:line="240" w:lineRule="atLeast"/>
              <w:jc w:val="center"/>
              <w:rPr>
                <w:sz w:val="24"/>
              </w:rPr>
            </w:pPr>
            <w:r>
              <w:rPr>
                <w:rFonts w:hint="eastAsia"/>
                <w:szCs w:val="21"/>
              </w:rPr>
              <w:t>(</w:t>
            </w:r>
            <w:r>
              <w:rPr>
                <w:szCs w:val="21"/>
              </w:rPr>
              <w:t>无偏离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正偏离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负偏离</w:t>
            </w:r>
            <w:r>
              <w:rPr>
                <w:rFonts w:hint="eastAsia"/>
                <w:szCs w:val="21"/>
              </w:rPr>
              <w:t>)</w:t>
            </w:r>
          </w:p>
        </w:tc>
        <w:tc>
          <w:tcPr>
            <w:tcW w:w="992" w:type="dxa"/>
            <w:vAlign w:val="center"/>
          </w:tcPr>
          <w:p w14:paraId="22A89C1E">
            <w:pPr>
              <w:spacing w:line="24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2"/>
              </w:rPr>
              <w:t>偏离值</w:t>
            </w:r>
          </w:p>
        </w:tc>
      </w:tr>
      <w:tr w14:paraId="39438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atLeast"/>
        </w:trPr>
        <w:tc>
          <w:tcPr>
            <w:tcW w:w="705" w:type="dxa"/>
            <w:vAlign w:val="center"/>
          </w:tcPr>
          <w:p w14:paraId="185CA09D">
            <w:pPr>
              <w:spacing w:line="240" w:lineRule="atLeast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422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10FD52C">
            <w:pPr>
              <w:widowControl/>
              <w:spacing w:line="240" w:lineRule="atLeast"/>
              <w:jc w:val="center"/>
              <w:rPr>
                <w:rFonts w:ascii="Times New Roman" w:hAnsi="Times New Roman" w:eastAsia="宋体" w:cs="Times New Roman"/>
                <w:szCs w:val="24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szCs w:val="21"/>
                <w:shd w:val="clear" w:color="auto" w:fill="FFFFFF"/>
              </w:rPr>
              <w:t>全场透射X射线间接探测器</w:t>
            </w:r>
          </w:p>
        </w:tc>
        <w:tc>
          <w:tcPr>
            <w:tcW w:w="5244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5DD844D">
            <w:pPr>
              <w:tabs>
                <w:tab w:val="left" w:pos="6916"/>
              </w:tabs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color w:val="000000"/>
                <w:kern w:val="0"/>
                <w:szCs w:val="21"/>
              </w:rPr>
              <w:t>合肥先进光源中能显微谱学成像线站拟开展全场透射成像，需要具备高帧频、高效率、大芯片面积及小尺寸像素的探测器来进行二维图像采集。根据调研，科研级sCMOS探测器可以匹配全场成像的要求，根据实验站成像需求，拟采购的探测器主要参数要求如下：</w:t>
            </w:r>
          </w:p>
          <w:p w14:paraId="144716CA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color w:val="000000"/>
                <w:kern w:val="0"/>
                <w:szCs w:val="21"/>
              </w:rPr>
            </w:pPr>
            <w:bookmarkStart w:id="0" w:name="OLE_LINK51"/>
            <w:bookmarkStart w:id="1" w:name="OLE_LINK1"/>
            <w:bookmarkStart w:id="2" w:name="OLE_LINK28"/>
            <w:r>
              <w:rPr>
                <w:color w:val="000000"/>
                <w:kern w:val="0"/>
                <w:szCs w:val="21"/>
              </w:rPr>
              <w:t>响应波长范围：覆盖可见光及近红外波段</w:t>
            </w:r>
          </w:p>
          <w:bookmarkEnd w:id="0"/>
          <w:p w14:paraId="3A2242F7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像素个数：≥2048</w:t>
            </w:r>
            <w:r>
              <w:rPr>
                <w:rFonts w:hint="eastAsia"/>
                <w:color w:val="000000"/>
                <w:kern w:val="0"/>
                <w:szCs w:val="21"/>
              </w:rPr>
              <w:t>×</w:t>
            </w:r>
            <w:r>
              <w:rPr>
                <w:color w:val="000000"/>
                <w:kern w:val="0"/>
                <w:szCs w:val="21"/>
              </w:rPr>
              <w:t>2048</w:t>
            </w:r>
          </w:p>
          <w:p w14:paraId="5249ED18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像素大小：≤6.5μm</w:t>
            </w:r>
          </w:p>
          <w:p w14:paraId="356BD201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color w:val="000000"/>
                <w:kern w:val="0"/>
                <w:szCs w:val="21"/>
              </w:rPr>
              <w:t>读出噪声：≤1.5 e</w:t>
            </w:r>
            <w:r>
              <w:rPr>
                <w:color w:val="000000"/>
                <w:kern w:val="0"/>
                <w:szCs w:val="21"/>
                <w:vertAlign w:val="superscript"/>
              </w:rPr>
              <w:t>-</w:t>
            </w:r>
            <w:r>
              <w:rPr>
                <w:color w:val="000000"/>
                <w:kern w:val="0"/>
                <w:szCs w:val="21"/>
              </w:rPr>
              <w:t>[rms]</w:t>
            </w:r>
          </w:p>
          <w:p w14:paraId="619109B3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color w:val="000000"/>
                <w:kern w:val="0"/>
                <w:szCs w:val="21"/>
              </w:rPr>
              <w:t>量子效率：≥60%@580</w:t>
            </w:r>
            <w:r>
              <w:rPr>
                <w:rFonts w:hint="eastAsia"/>
                <w:color w:val="000000"/>
                <w:kern w:val="0"/>
                <w:szCs w:val="21"/>
              </w:rPr>
              <w:t>nm</w:t>
            </w:r>
          </w:p>
          <w:p w14:paraId="1D51EDDD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rFonts w:ascii="宋体" w:hAnsi="宋体" w:cs="宋体"/>
                <w:kern w:val="0"/>
                <w:sz w:val="24"/>
              </w:rPr>
            </w:pPr>
            <w:bookmarkStart w:id="3" w:name="OLE_LINK15"/>
            <w:r>
              <w:rPr>
                <w:rFonts w:hint="eastAsia"/>
                <w:color w:val="000000"/>
                <w:kern w:val="0"/>
                <w:szCs w:val="21"/>
              </w:rPr>
              <w:t>全局</w:t>
            </w:r>
            <w:bookmarkEnd w:id="3"/>
            <w:bookmarkStart w:id="4" w:name="OLE_LINK16"/>
            <w:r>
              <w:rPr>
                <w:rFonts w:hint="eastAsia"/>
                <w:color w:val="000000"/>
                <w:kern w:val="0"/>
                <w:szCs w:val="21"/>
              </w:rPr>
              <w:t>模式</w:t>
            </w:r>
            <w:bookmarkEnd w:id="4"/>
            <w:r>
              <w:rPr>
                <w:rFonts w:hint="eastAsia"/>
                <w:color w:val="000000"/>
                <w:kern w:val="0"/>
                <w:szCs w:val="21"/>
              </w:rPr>
              <w:t>下</w:t>
            </w:r>
            <w:r>
              <w:rPr>
                <w:color w:val="000000"/>
                <w:kern w:val="0"/>
                <w:szCs w:val="21"/>
              </w:rPr>
              <w:t>帧频（Frame Rate）@≥2048×2048@16bi</w:t>
            </w:r>
            <w:r>
              <w:rPr>
                <w:rFonts w:hint="eastAsia"/>
                <w:color w:val="000000"/>
                <w:kern w:val="0"/>
                <w:szCs w:val="21"/>
              </w:rPr>
              <w:t>t</w:t>
            </w:r>
            <w:r>
              <w:rPr>
                <w:color w:val="000000"/>
                <w:kern w:val="0"/>
                <w:szCs w:val="21"/>
              </w:rPr>
              <w:t>@</w:t>
            </w:r>
            <w:r>
              <w:rPr>
                <w:rFonts w:hint="eastAsia"/>
                <w:color w:val="000000"/>
                <w:kern w:val="0"/>
                <w:szCs w:val="21"/>
              </w:rPr>
              <w:t>成像模式</w:t>
            </w:r>
            <w:r>
              <w:rPr>
                <w:color w:val="000000"/>
                <w:kern w:val="0"/>
                <w:szCs w:val="21"/>
              </w:rPr>
              <w:t>：&gt;</w:t>
            </w:r>
            <w:bookmarkStart w:id="5" w:name="OLE_LINK9"/>
            <w:r>
              <w:rPr>
                <w:color w:val="000000"/>
                <w:kern w:val="0"/>
                <w:szCs w:val="21"/>
              </w:rPr>
              <w:t>45</w:t>
            </w:r>
          </w:p>
          <w:bookmarkEnd w:id="5"/>
          <w:p w14:paraId="4EBB7447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冷却</w:t>
            </w:r>
            <w:r>
              <w:rPr>
                <w:color w:val="000000"/>
                <w:kern w:val="0"/>
                <w:szCs w:val="21"/>
              </w:rPr>
              <w:t>温度：≤-10℃</w:t>
            </w:r>
          </w:p>
          <w:p w14:paraId="734795A6">
            <w:pPr>
              <w:widowControl/>
              <w:numPr>
                <w:ilvl w:val="0"/>
                <w:numId w:val="1"/>
              </w:numPr>
              <w:tabs>
                <w:tab w:val="left" w:pos="6916"/>
              </w:tabs>
              <w:spacing w:line="240" w:lineRule="auto"/>
              <w:ind w:left="1560"/>
              <w:jc w:val="left"/>
              <w:rPr>
                <w:rFonts w:ascii="宋体" w:hAnsi="宋体" w:cs="宋体"/>
                <w:kern w:val="0"/>
                <w:sz w:val="24"/>
              </w:rPr>
            </w:pPr>
            <w:bookmarkStart w:id="6" w:name="OLE_LINK6"/>
            <w:r>
              <w:rPr>
                <w:color w:val="000000"/>
                <w:kern w:val="0"/>
                <w:szCs w:val="21"/>
              </w:rPr>
              <w:t>数据传输接口： Camera Link</w:t>
            </w:r>
          </w:p>
          <w:bookmarkEnd w:id="1"/>
          <w:p w14:paraId="049A9EB6">
            <w:pPr>
              <w:widowControl/>
              <w:numPr>
                <w:ilvl w:val="0"/>
                <w:numId w:val="1"/>
              </w:numPr>
              <w:tabs>
                <w:tab w:val="left" w:pos="6915"/>
              </w:tabs>
              <w:spacing w:line="240" w:lineRule="auto"/>
              <w:ind w:left="156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  <w:kern w:val="0"/>
              </w:rPr>
              <w:t>包含相应的软件及数据线等附件配置</w:t>
            </w:r>
            <w:bookmarkEnd w:id="6"/>
          </w:p>
          <w:p w14:paraId="185114A3">
            <w:pPr>
              <w:widowControl/>
              <w:numPr>
                <w:ilvl w:val="0"/>
                <w:numId w:val="1"/>
              </w:numPr>
              <w:tabs>
                <w:tab w:val="left" w:pos="6915"/>
              </w:tabs>
              <w:spacing w:line="240" w:lineRule="auto"/>
              <w:ind w:left="1560"/>
              <w:jc w:val="left"/>
              <w:rPr>
                <w:rFonts w:ascii="Arial" w:hAnsi="Arial" w:eastAsia="宋体" w:cs="Arial"/>
                <w:szCs w:val="21"/>
                <w:shd w:val="clear" w:color="auto" w:fill="FFFFFF"/>
              </w:rPr>
            </w:pPr>
            <w:r>
              <w:rPr>
                <w:rFonts w:hint="eastAsia"/>
                <w:kern w:val="0"/>
              </w:rPr>
              <w:t>提供EPICS驱动接口</w:t>
            </w:r>
            <w:bookmarkEnd w:id="2"/>
            <w:bookmarkStart w:id="7" w:name="_GoBack"/>
            <w:bookmarkEnd w:id="7"/>
          </w:p>
        </w:tc>
        <w:tc>
          <w:tcPr>
            <w:tcW w:w="1418" w:type="dxa"/>
            <w:vAlign w:val="center"/>
          </w:tcPr>
          <w:p w14:paraId="205FF5AB">
            <w:pPr>
              <w:spacing w:line="240" w:lineRule="atLeast"/>
              <w:jc w:val="center"/>
            </w:pPr>
          </w:p>
        </w:tc>
        <w:tc>
          <w:tcPr>
            <w:tcW w:w="992" w:type="dxa"/>
            <w:vAlign w:val="center"/>
          </w:tcPr>
          <w:p w14:paraId="1C60665B">
            <w:pPr>
              <w:spacing w:line="240" w:lineRule="atLeast"/>
              <w:jc w:val="center"/>
            </w:pPr>
          </w:p>
        </w:tc>
      </w:tr>
      <w:tr w14:paraId="497EA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3" w:hRule="atLeast"/>
        </w:trPr>
        <w:tc>
          <w:tcPr>
            <w:tcW w:w="705" w:type="dxa"/>
            <w:vAlign w:val="center"/>
          </w:tcPr>
          <w:p w14:paraId="21D5CC9B">
            <w:pPr>
              <w:spacing w:line="240" w:lineRule="atLeast"/>
              <w:jc w:val="center"/>
            </w:pPr>
            <w:r>
              <w:t>2</w:t>
            </w:r>
          </w:p>
        </w:tc>
        <w:tc>
          <w:tcPr>
            <w:tcW w:w="1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7188C">
            <w:pPr>
              <w:widowControl/>
              <w:spacing w:line="240" w:lineRule="atLeast"/>
              <w:jc w:val="center"/>
            </w:pPr>
            <w:r>
              <w:rPr>
                <w:rFonts w:hint="eastAsia"/>
              </w:rPr>
              <w:t>商务条款</w:t>
            </w:r>
          </w:p>
        </w:tc>
        <w:tc>
          <w:tcPr>
            <w:tcW w:w="52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88EEA">
            <w:pPr>
              <w:tabs>
                <w:tab w:val="left" w:pos="6915"/>
              </w:tabs>
              <w:jc w:val="left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交货期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  <w:r>
              <w:rPr>
                <w:rFonts w:hint="eastAsia" w:ascii="宋体" w:hAnsi="宋体"/>
                <w:bCs/>
                <w:szCs w:val="21"/>
              </w:rPr>
              <w:t>合同签订后</w:t>
            </w:r>
            <w:r>
              <w:rPr>
                <w:rFonts w:ascii="宋体" w:hAnsi="宋体"/>
                <w:bCs/>
                <w:szCs w:val="21"/>
              </w:rPr>
              <w:t>6</w:t>
            </w:r>
            <w:r>
              <w:rPr>
                <w:rFonts w:hint="eastAsia" w:ascii="宋体" w:hAnsi="宋体"/>
                <w:bCs/>
                <w:szCs w:val="21"/>
              </w:rPr>
              <w:t>个月内</w:t>
            </w:r>
          </w:p>
          <w:p w14:paraId="174FD61F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交付进度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  <w:r>
              <w:rPr>
                <w:rFonts w:hint="eastAsia" w:ascii="宋体" w:hAnsi="宋体"/>
                <w:bCs/>
                <w:szCs w:val="21"/>
              </w:rPr>
              <w:t>一次性交付</w:t>
            </w:r>
          </w:p>
          <w:p w14:paraId="2DC6EBE7"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付款方式</w:t>
            </w:r>
            <w:r>
              <w:rPr>
                <w:rFonts w:hint="eastAsia" w:ascii="宋体" w:hAnsi="宋体"/>
                <w:b/>
                <w:szCs w:val="21"/>
              </w:rPr>
              <w:t>（二选一）：</w:t>
            </w:r>
          </w:p>
          <w:p w14:paraId="4354CE4A">
            <w:pPr>
              <w:ind w:firstLine="420" w:firstLineChars="200"/>
              <w:rPr>
                <w:bCs/>
              </w:rPr>
            </w:pPr>
            <w:r>
              <w:rPr>
                <w:rFonts w:hint="eastAsia" w:ascii="宋体" w:hAnsi="宋体"/>
                <w:bCs/>
                <w:szCs w:val="21"/>
              </w:rPr>
              <w:t>国产产品：</w:t>
            </w:r>
          </w:p>
          <w:p w14:paraId="277AD0C4">
            <w:pPr>
              <w:ind w:firstLine="420"/>
            </w:pPr>
            <w:r>
              <w:rPr>
                <w:rFonts w:hint="eastAsia"/>
              </w:rPr>
              <w:t>（1）合同签订后，买方支付合同总价的50%；</w:t>
            </w:r>
          </w:p>
          <w:p w14:paraId="2DA7A78D">
            <w:pPr>
              <w:ind w:firstLine="420"/>
            </w:pPr>
            <w:r>
              <w:rPr>
                <w:rFonts w:hint="eastAsia"/>
              </w:rPr>
              <w:t>（2）货物在制造现场预验收完毕后，买方支付合同总价的30%；</w:t>
            </w:r>
          </w:p>
          <w:p w14:paraId="13D3967B">
            <w:pPr>
              <w:ind w:firstLine="420"/>
            </w:pPr>
            <w:r>
              <w:rPr>
                <w:rFonts w:hint="eastAsia"/>
              </w:rPr>
              <w:t>（3）货到买方指定地点并且经买方验收合格后，买方支付合同总价的20%。</w:t>
            </w:r>
          </w:p>
          <w:p w14:paraId="3740A063">
            <w:pPr>
              <w:ind w:firstLine="420"/>
            </w:pPr>
            <w:r>
              <w:rPr>
                <w:rFonts w:hint="eastAsia"/>
              </w:rPr>
              <w:t>进口产品：</w:t>
            </w:r>
          </w:p>
          <w:p w14:paraId="4555B62E">
            <w:pPr>
              <w:ind w:firstLine="420"/>
            </w:pPr>
            <w:r>
              <w:rPr>
                <w:rFonts w:hint="eastAsia"/>
              </w:rPr>
              <w:t>一、原则上应采用信用证方式或凭发货单据（运单）电汇预付比例不超过90%，尾款待验收合格之后支付。</w:t>
            </w:r>
          </w:p>
          <w:p w14:paraId="043ACFBE">
            <w:pPr>
              <w:ind w:firstLine="420"/>
            </w:pPr>
            <w:r>
              <w:rPr>
                <w:rFonts w:hint="eastAsia"/>
              </w:rPr>
              <w:t>二、既非信用证又非凭发运单据（运单）电汇预付比例不超过30%，超过30%时须提供等额预付款保函。</w:t>
            </w:r>
          </w:p>
          <w:p w14:paraId="2AE33219">
            <w:pPr>
              <w:tabs>
                <w:tab w:val="left" w:pos="6915"/>
              </w:tabs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szCs w:val="21"/>
              </w:rPr>
              <w:t>验收指标及验收要求：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厂家需对探测器进行出厂测试，满足规格和技术参数给出的要求，并在安装后现场实测达到技术指标。</w:t>
            </w:r>
          </w:p>
          <w:p w14:paraId="1978450C">
            <w:pPr>
              <w:tabs>
                <w:tab w:val="left" w:pos="6915"/>
              </w:tabs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保修</w:t>
            </w:r>
            <w:r>
              <w:rPr>
                <w:rFonts w:ascii="宋体" w:hAnsi="宋体"/>
                <w:b/>
                <w:szCs w:val="21"/>
              </w:rPr>
              <w:t>及售后服务</w:t>
            </w:r>
            <w:r>
              <w:rPr>
                <w:rFonts w:hint="eastAsia" w:ascii="宋体" w:hAnsi="宋体"/>
                <w:b/>
                <w:szCs w:val="21"/>
              </w:rPr>
              <w:t>：</w:t>
            </w:r>
          </w:p>
          <w:p w14:paraId="35FDAC09">
            <w:pPr>
              <w:tabs>
                <w:tab w:val="left" w:pos="6915"/>
              </w:tabs>
              <w:jc w:val="left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1. 厂家提供一年的免费保修, 保修期自仪器安装验收之日起计算。如在保修期内，需返厂维修，厂家承担所有费用，且保修期相应顺延。在保修期结束前一个月内，厂家上门进行设备整体检修。</w:t>
            </w:r>
          </w:p>
          <w:p w14:paraId="577F65B1">
            <w:pPr>
              <w:tabs>
                <w:tab w:val="left" w:pos="6915"/>
              </w:tabs>
              <w:jc w:val="left"/>
              <w:rPr>
                <w:rFonts w:ascii="Arial" w:hAnsi="Arial" w:eastAsia="宋体" w:cs="Arial"/>
                <w:szCs w:val="21"/>
                <w:shd w:val="clear" w:color="auto" w:fill="FFFFFF"/>
              </w:rPr>
            </w:pPr>
            <w:r>
              <w:rPr>
                <w:rFonts w:hint="eastAsia" w:ascii="宋体" w:hAnsi="宋体"/>
                <w:bCs/>
                <w:szCs w:val="21"/>
              </w:rPr>
              <w:t>2. 保修期内的服务由厂家负责，如有必要尽快派出维修人员到达现场进行服务。</w:t>
            </w:r>
          </w:p>
        </w:tc>
        <w:tc>
          <w:tcPr>
            <w:tcW w:w="1418" w:type="dxa"/>
            <w:vAlign w:val="center"/>
          </w:tcPr>
          <w:p w14:paraId="324B1D27">
            <w:pPr>
              <w:spacing w:line="240" w:lineRule="atLeast"/>
              <w:jc w:val="center"/>
            </w:pPr>
          </w:p>
        </w:tc>
        <w:tc>
          <w:tcPr>
            <w:tcW w:w="992" w:type="dxa"/>
            <w:vAlign w:val="center"/>
          </w:tcPr>
          <w:p w14:paraId="06AA2CA0">
            <w:pPr>
              <w:spacing w:line="240" w:lineRule="atLeast"/>
              <w:jc w:val="center"/>
            </w:pPr>
          </w:p>
        </w:tc>
      </w:tr>
    </w:tbl>
    <w:p w14:paraId="6DFFEB29">
      <w:pPr>
        <w:ind w:right="840"/>
        <w:rPr>
          <w:sz w:val="24"/>
        </w:rPr>
      </w:pPr>
    </w:p>
    <w:p w14:paraId="0DED7F3B">
      <w:pPr>
        <w:ind w:right="840" w:firstLine="5040" w:firstLineChars="2100"/>
        <w:rPr>
          <w:sz w:val="24"/>
        </w:rPr>
      </w:pPr>
    </w:p>
    <w:p w14:paraId="6B36AD4F">
      <w:pPr>
        <w:ind w:right="840" w:firstLine="5040" w:firstLineChars="2100"/>
        <w:rPr>
          <w:sz w:val="24"/>
        </w:rPr>
      </w:pPr>
      <w:r>
        <w:rPr>
          <w:sz w:val="24"/>
        </w:rPr>
        <w:t>公司名称</w:t>
      </w:r>
      <w:r>
        <w:rPr>
          <w:rFonts w:hint="eastAsia"/>
          <w:sz w:val="24"/>
        </w:rPr>
        <w:t>（盖章）：</w:t>
      </w:r>
    </w:p>
    <w:p w14:paraId="2BA3965A">
      <w:pPr>
        <w:ind w:right="840"/>
        <w:jc w:val="center"/>
        <w:rPr>
          <w:sz w:val="24"/>
        </w:rPr>
      </w:pPr>
      <w:r>
        <w:rPr>
          <w:rFonts w:hint="eastAsia"/>
          <w:sz w:val="24"/>
        </w:rPr>
        <w:t xml:space="preserve"> </w:t>
      </w:r>
      <w:r>
        <w:rPr>
          <w:sz w:val="24"/>
        </w:rPr>
        <w:t xml:space="preserve">                            日期</w:t>
      </w:r>
      <w:r>
        <w:rPr>
          <w:rFonts w:hint="eastAsia"/>
          <w:sz w:val="24"/>
        </w:rPr>
        <w:t>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YaHei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7DC4D73"/>
    <w:multiLevelType w:val="multilevel"/>
    <w:tmpl w:val="57DC4D73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437"/>
    <w:rsid w:val="000110C4"/>
    <w:rsid w:val="00015CB8"/>
    <w:rsid w:val="00020783"/>
    <w:rsid w:val="00025804"/>
    <w:rsid w:val="00050922"/>
    <w:rsid w:val="00086882"/>
    <w:rsid w:val="00090223"/>
    <w:rsid w:val="00091C8D"/>
    <w:rsid w:val="000E54CE"/>
    <w:rsid w:val="00102C13"/>
    <w:rsid w:val="00123779"/>
    <w:rsid w:val="001501D1"/>
    <w:rsid w:val="001548E0"/>
    <w:rsid w:val="001B219D"/>
    <w:rsid w:val="001D3367"/>
    <w:rsid w:val="002026B2"/>
    <w:rsid w:val="002212AC"/>
    <w:rsid w:val="00261EE1"/>
    <w:rsid w:val="00267E42"/>
    <w:rsid w:val="002D1729"/>
    <w:rsid w:val="002E518A"/>
    <w:rsid w:val="003009AA"/>
    <w:rsid w:val="003438B5"/>
    <w:rsid w:val="00363C73"/>
    <w:rsid w:val="003923FC"/>
    <w:rsid w:val="003C2330"/>
    <w:rsid w:val="003C7C5A"/>
    <w:rsid w:val="004626C3"/>
    <w:rsid w:val="00474B94"/>
    <w:rsid w:val="004973C3"/>
    <w:rsid w:val="004B0D2F"/>
    <w:rsid w:val="00516FB3"/>
    <w:rsid w:val="00547A75"/>
    <w:rsid w:val="00584F75"/>
    <w:rsid w:val="005C4758"/>
    <w:rsid w:val="005C4AA6"/>
    <w:rsid w:val="005E2C0C"/>
    <w:rsid w:val="005F14E0"/>
    <w:rsid w:val="005F7E7B"/>
    <w:rsid w:val="006074C0"/>
    <w:rsid w:val="00630F8F"/>
    <w:rsid w:val="00642CDA"/>
    <w:rsid w:val="00670B3D"/>
    <w:rsid w:val="006C07B4"/>
    <w:rsid w:val="006D67E0"/>
    <w:rsid w:val="00705387"/>
    <w:rsid w:val="00720BC4"/>
    <w:rsid w:val="007230C5"/>
    <w:rsid w:val="00731AE1"/>
    <w:rsid w:val="00744E8E"/>
    <w:rsid w:val="00750961"/>
    <w:rsid w:val="00757D88"/>
    <w:rsid w:val="007A4C29"/>
    <w:rsid w:val="007B2AE3"/>
    <w:rsid w:val="00811B08"/>
    <w:rsid w:val="00825420"/>
    <w:rsid w:val="00832C3E"/>
    <w:rsid w:val="00872767"/>
    <w:rsid w:val="00877DA3"/>
    <w:rsid w:val="00886A2E"/>
    <w:rsid w:val="008A717C"/>
    <w:rsid w:val="008D62B6"/>
    <w:rsid w:val="008E3DB8"/>
    <w:rsid w:val="008F0FFC"/>
    <w:rsid w:val="008F5C2B"/>
    <w:rsid w:val="009149BA"/>
    <w:rsid w:val="00961437"/>
    <w:rsid w:val="00965011"/>
    <w:rsid w:val="00995429"/>
    <w:rsid w:val="00996AC3"/>
    <w:rsid w:val="009B6E26"/>
    <w:rsid w:val="009C3224"/>
    <w:rsid w:val="009C4C31"/>
    <w:rsid w:val="009F0C82"/>
    <w:rsid w:val="009F5C3A"/>
    <w:rsid w:val="00A01094"/>
    <w:rsid w:val="00A11447"/>
    <w:rsid w:val="00A20D98"/>
    <w:rsid w:val="00A27625"/>
    <w:rsid w:val="00A44E8A"/>
    <w:rsid w:val="00A533CA"/>
    <w:rsid w:val="00A8112C"/>
    <w:rsid w:val="00AC1D37"/>
    <w:rsid w:val="00AC67EF"/>
    <w:rsid w:val="00AF7A8B"/>
    <w:rsid w:val="00B04741"/>
    <w:rsid w:val="00B311D0"/>
    <w:rsid w:val="00B64004"/>
    <w:rsid w:val="00B7785A"/>
    <w:rsid w:val="00B90DC2"/>
    <w:rsid w:val="00B971DE"/>
    <w:rsid w:val="00BA1B3F"/>
    <w:rsid w:val="00BC2767"/>
    <w:rsid w:val="00C102A3"/>
    <w:rsid w:val="00C1298E"/>
    <w:rsid w:val="00C26D9F"/>
    <w:rsid w:val="00C442AD"/>
    <w:rsid w:val="00CA3288"/>
    <w:rsid w:val="00CA3E3B"/>
    <w:rsid w:val="00D011DC"/>
    <w:rsid w:val="00D04097"/>
    <w:rsid w:val="00D24D09"/>
    <w:rsid w:val="00D72E1E"/>
    <w:rsid w:val="00D81354"/>
    <w:rsid w:val="00E00131"/>
    <w:rsid w:val="00E147A9"/>
    <w:rsid w:val="00E5012E"/>
    <w:rsid w:val="00E762FD"/>
    <w:rsid w:val="00E930C8"/>
    <w:rsid w:val="00EA412A"/>
    <w:rsid w:val="00EA6BA9"/>
    <w:rsid w:val="00F347F0"/>
    <w:rsid w:val="00F34AE9"/>
    <w:rsid w:val="00F357B0"/>
    <w:rsid w:val="00F43549"/>
    <w:rsid w:val="00F50B62"/>
    <w:rsid w:val="00F70F95"/>
    <w:rsid w:val="00F829DE"/>
    <w:rsid w:val="00F82AA6"/>
    <w:rsid w:val="00F855E3"/>
    <w:rsid w:val="00FC7C08"/>
    <w:rsid w:val="00FE15FA"/>
    <w:rsid w:val="0C7718F8"/>
    <w:rsid w:val="1CDF68F8"/>
    <w:rsid w:val="2D070EC5"/>
    <w:rsid w:val="46BB5348"/>
    <w:rsid w:val="51936088"/>
    <w:rsid w:val="668D6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Autospacing="1" w:afterAutospacing="1" w:line="278" w:lineRule="auto"/>
      <w:jc w:val="left"/>
    </w:pPr>
    <w:rPr>
      <w:rFonts w:ascii="Times New Roman" w:hAnsi="Times New Roman" w:eastAsia="宋体" w:cs="Times New Roman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style01"/>
    <w:basedOn w:val="7"/>
    <w:qFormat/>
    <w:uiPriority w:val="0"/>
    <w:rPr>
      <w:rFonts w:hint="default" w:ascii="MicrosoftYaHei" w:hAnsi="MicrosoftYaHei"/>
      <w:color w:val="000000"/>
      <w:sz w:val="22"/>
      <w:szCs w:val="22"/>
    </w:rPr>
  </w:style>
  <w:style w:type="character" w:customStyle="1" w:styleId="9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2"/>
    <w:qFormat/>
    <w:uiPriority w:val="99"/>
    <w:rPr>
      <w:sz w:val="18"/>
      <w:szCs w:val="18"/>
    </w:rPr>
  </w:style>
  <w:style w:type="paragraph" w:styleId="11">
    <w:name w:val="List Paragraph"/>
    <w:basedOn w:val="1"/>
    <w:autoRedefine/>
    <w:qFormat/>
    <w:uiPriority w:val="34"/>
    <w:pPr>
      <w:tabs>
        <w:tab w:val="left" w:pos="1428"/>
      </w:tabs>
      <w:ind w:firstLine="420" w:firstLineChars="200"/>
      <w:jc w:val="left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434</Words>
  <Characters>486</Characters>
  <Lines>4</Lines>
  <Paragraphs>1</Paragraphs>
  <TotalTime>0</TotalTime>
  <ScaleCrop>false</ScaleCrop>
  <LinksUpToDate>false</LinksUpToDate>
  <CharactersWithSpaces>515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2024-07-15T01:36:00Z</dcterms:created>
  <dc:creator>China</dc:creator>
  <cp:lastModifiedBy>陈文佳</cp:lastModifiedBy>
  <dcterms:modified xsi:type="dcterms:W3CDTF">2026-07-21T08:13:45Z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eyJoZGlkIjoiMzc0OTQ1OWZiNDc3Y2MyZmZmZWIzYzRlODQ4NDE3OTYiLCJ1c2VySWQiOiIxNzc0OTA2Mjk1In0=</vt:lpwstr>
  </property>
  <property fmtid="{D5CDD505-2E9C-101B-9397-08002B2CF9AE}" pid="3" name="KSOProductBuildVer">
    <vt:lpwstr>2052-12.1.0.23542</vt:lpwstr>
  </property>
  <property fmtid="{D5CDD505-2E9C-101B-9397-08002B2CF9AE}" pid="4" name="ICV">
    <vt:lpwstr>20B1B4D6E71F47CB8E65CCEFBC87FC75_12</vt:lpwstr>
  </property>
</Properties>
</file>