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szCs w:val="21"/>
                <w:shd w:val="clear" w:color="auto" w:fill="FFFFFF"/>
              </w:rPr>
              <w:t>超高真空退火系统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E845F39">
            <w:pPr>
              <w:tabs>
                <w:tab w:val="left" w:pos="6915"/>
              </w:tabs>
              <w:ind w:firstLine="420" w:firstLineChars="200"/>
              <w:jc w:val="left"/>
              <w:rPr>
                <w:iCs/>
                <w:szCs w:val="21"/>
              </w:rPr>
            </w:pPr>
            <w:r>
              <w:rPr>
                <w:iCs/>
                <w:szCs w:val="21"/>
              </w:rPr>
              <w:t>超高真空退火系统，数量1套。用于微纳器件工况电子态表征实验站超高真空内样品</w:t>
            </w:r>
            <w:r>
              <w:rPr>
                <w:rFonts w:hint="eastAsia"/>
                <w:iCs/>
                <w:szCs w:val="21"/>
              </w:rPr>
              <w:t>的</w:t>
            </w:r>
            <w:r>
              <w:rPr>
                <w:iCs/>
                <w:szCs w:val="21"/>
              </w:rPr>
              <w:t>退火和其他处理。</w:t>
            </w:r>
          </w:p>
          <w:p w14:paraId="2E5E0076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rPr>
                <w:bCs/>
                <w:szCs w:val="21"/>
              </w:rPr>
            </w:pPr>
            <w:bookmarkStart w:id="0" w:name="OLE_LINK1"/>
            <w:r>
              <w:rPr>
                <w:iCs/>
                <w:szCs w:val="21"/>
              </w:rPr>
              <w:t>柱状真空</w:t>
            </w:r>
            <w:r>
              <w:rPr>
                <w:rFonts w:hint="eastAsia"/>
                <w:iCs/>
                <w:szCs w:val="21"/>
              </w:rPr>
              <w:t>退火腔，</w:t>
            </w:r>
            <w:r>
              <w:rPr>
                <w:bCs/>
                <w:szCs w:val="21"/>
              </w:rPr>
              <w:t>可对样品进行</w:t>
            </w:r>
            <w:r>
              <w:rPr>
                <w:iCs/>
                <w:szCs w:val="21"/>
              </w:rPr>
              <w:t>退火和</w:t>
            </w:r>
            <w:r>
              <w:rPr>
                <w:rFonts w:hint="eastAsia"/>
                <w:iCs/>
                <w:szCs w:val="21"/>
              </w:rPr>
              <w:t>表面蒸镀等</w:t>
            </w:r>
            <w:r>
              <w:rPr>
                <w:iCs/>
                <w:szCs w:val="21"/>
              </w:rPr>
              <w:t>处理，材质为同等或优于无磁304不锈钢，直径≥250mm，内外电解抛光，漏率≤2x10-</w:t>
            </w:r>
            <w:r>
              <w:rPr>
                <w:iCs/>
                <w:szCs w:val="21"/>
                <w:vertAlign w:val="superscript"/>
              </w:rPr>
              <w:t>12</w:t>
            </w:r>
            <w:r>
              <w:rPr>
                <w:iCs/>
                <w:szCs w:val="21"/>
              </w:rPr>
              <w:t>mbar·L/s。</w:t>
            </w:r>
            <w:r>
              <w:rPr>
                <w:rFonts w:hint="eastAsia"/>
                <w:iCs/>
                <w:szCs w:val="21"/>
              </w:rPr>
              <w:t>底部要求预留至少4个以上CF35接口，用于后续的蒸发源加装，同时需有CF250视窗用于红外测温及观察传样。此外需定制</w:t>
            </w:r>
            <w:r>
              <w:rPr>
                <w:rFonts w:hint="eastAsia"/>
                <w:bCs/>
                <w:szCs w:val="21"/>
              </w:rPr>
              <w:t>微漏阀接口内结构，将微漏阀输出气体尽可能输送到样品附近，为样品提供氧气等指定气体氛围。</w:t>
            </w:r>
            <w:r>
              <w:rPr>
                <w:bCs/>
                <w:szCs w:val="21"/>
              </w:rPr>
              <w:t>腔体经烘烤后，本底真空</w:t>
            </w:r>
            <w:r>
              <w:rPr>
                <w:rFonts w:hint="eastAsia"/>
                <w:bCs/>
                <w:szCs w:val="21"/>
              </w:rPr>
              <w:t>应</w:t>
            </w:r>
            <w:r>
              <w:rPr>
                <w:bCs/>
                <w:szCs w:val="21"/>
              </w:rPr>
              <w:t>优于</w:t>
            </w:r>
            <w:r>
              <w:rPr>
                <w:rFonts w:hint="eastAsia"/>
                <w:bCs/>
                <w:szCs w:val="21"/>
              </w:rPr>
              <w:t>3</w:t>
            </w:r>
            <w:r>
              <w:rPr>
                <w:bCs/>
                <w:szCs w:val="21"/>
              </w:rPr>
              <w:t>×10</w:t>
            </w:r>
            <w:r>
              <w:rPr>
                <w:bCs/>
                <w:szCs w:val="21"/>
                <w:vertAlign w:val="superscript"/>
              </w:rPr>
              <w:t>-10</w:t>
            </w:r>
            <w:r>
              <w:rPr>
                <w:bCs/>
                <w:szCs w:val="21"/>
              </w:rPr>
              <w:t xml:space="preserve"> mbar</w:t>
            </w:r>
            <w:r>
              <w:rPr>
                <w:rFonts w:hint="eastAsia"/>
                <w:bCs/>
                <w:szCs w:val="21"/>
              </w:rPr>
              <w:t>。CF35尺寸</w:t>
            </w:r>
            <w:r>
              <w:rPr>
                <w:bCs/>
                <w:szCs w:val="21"/>
              </w:rPr>
              <w:t>中空直线导入器</w:t>
            </w:r>
            <w:r>
              <w:rPr>
                <w:rFonts w:hint="eastAsia"/>
                <w:bCs/>
                <w:szCs w:val="21"/>
              </w:rPr>
              <w:t>一套。</w:t>
            </w:r>
            <w:r>
              <w:rPr>
                <w:bCs/>
                <w:szCs w:val="21"/>
              </w:rPr>
              <w:t>行程150mm，直流电机</w:t>
            </w:r>
            <w:r>
              <w:rPr>
                <w:rFonts w:hint="eastAsia"/>
                <w:bCs/>
                <w:szCs w:val="21"/>
              </w:rPr>
              <w:t>驱动</w:t>
            </w:r>
            <w:r>
              <w:rPr>
                <w:bCs/>
                <w:szCs w:val="21"/>
              </w:rPr>
              <w:t>伸缩</w:t>
            </w:r>
            <w:r>
              <w:rPr>
                <w:rFonts w:hint="eastAsia"/>
                <w:bCs/>
                <w:szCs w:val="21"/>
              </w:rPr>
              <w:t>，用于QCM安装（采购人自备）。此外需为采购人自行准备的CF100接口分子泵提供对应法兰口并配备CF100气动挡板阀。</w:t>
            </w:r>
            <w:r>
              <w:rPr>
                <w:bCs/>
                <w:szCs w:val="21"/>
              </w:rPr>
              <w:t>腔体设计示意图如图所示，最终图纸需经过采购方确认后方可加工。</w:t>
            </w:r>
          </w:p>
          <w:p w14:paraId="1FF2EC39">
            <w:pPr>
              <w:pStyle w:val="11"/>
              <w:tabs>
                <w:tab w:val="left" w:pos="6915"/>
                <w:tab w:val="clear" w:pos="1428"/>
              </w:tabs>
              <w:ind w:left="360" w:firstLine="0" w:firstLineChars="0"/>
              <w:jc w:val="center"/>
              <w:rPr>
                <w:bCs/>
                <w:szCs w:val="21"/>
              </w:rPr>
            </w:pPr>
            <w:r>
              <w:drawing>
                <wp:inline distT="0" distB="0" distL="0" distR="0">
                  <wp:extent cx="2159000" cy="3719830"/>
                  <wp:effectExtent l="0" t="0" r="12700" b="13970"/>
                  <wp:docPr id="60011551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011551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t="11142" b="33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0" cy="37211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F6C088A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包含一套超高真空</w:t>
            </w:r>
            <w:r>
              <w:rPr>
                <w:rFonts w:hint="eastAsia"/>
                <w:bCs/>
                <w:szCs w:val="21"/>
              </w:rPr>
              <w:t>4</w:t>
            </w:r>
            <w:r>
              <w:rPr>
                <w:bCs/>
                <w:szCs w:val="21"/>
              </w:rPr>
              <w:t>轴高温样品架，竖直安装，适配Flag Type样品托，XY方向位移±12.5mm，Z方向</w:t>
            </w:r>
            <w:r>
              <w:rPr>
                <w:rFonts w:hint="eastAsia"/>
                <w:bCs/>
                <w:szCs w:val="21"/>
              </w:rPr>
              <w:t>行程不小于</w:t>
            </w:r>
            <w:r>
              <w:rPr>
                <w:bCs/>
                <w:szCs w:val="21"/>
              </w:rPr>
              <w:t>150mm，手动旋转</w:t>
            </w:r>
            <w:r>
              <w:rPr>
                <w:rFonts w:hint="eastAsia"/>
                <w:bCs/>
                <w:szCs w:val="21"/>
              </w:rPr>
              <w:t>范围</w:t>
            </w:r>
            <w:r>
              <w:rPr>
                <w:bCs/>
                <w:szCs w:val="21"/>
              </w:rPr>
              <w:t>±180°，配置热辐射和直流加热功能，</w:t>
            </w:r>
            <w:r>
              <w:rPr>
                <w:rFonts w:hint="eastAsia"/>
                <w:bCs/>
                <w:szCs w:val="21"/>
              </w:rPr>
              <w:t>要求能够在至少</w:t>
            </w:r>
            <w:r>
              <w:rPr>
                <w:bCs/>
                <w:szCs w:val="21"/>
              </w:rPr>
              <w:t>1x10</w:t>
            </w:r>
            <w:r>
              <w:rPr>
                <w:bCs/>
                <w:szCs w:val="21"/>
                <w:vertAlign w:val="superscript"/>
              </w:rPr>
              <w:t>-4</w:t>
            </w:r>
            <w:r>
              <w:rPr>
                <w:bCs/>
                <w:szCs w:val="21"/>
              </w:rPr>
              <w:t>mbar氧压下加热样品至800℃</w:t>
            </w:r>
            <w:r>
              <w:rPr>
                <w:rFonts w:hint="eastAsia"/>
                <w:bCs/>
                <w:szCs w:val="21"/>
              </w:rPr>
              <w:t>。</w:t>
            </w:r>
          </w:p>
          <w:p w14:paraId="220AE7B9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退火检测系统：需</w:t>
            </w:r>
            <w:r>
              <w:rPr>
                <w:rFonts w:hint="eastAsia"/>
                <w:iCs/>
                <w:szCs w:val="21"/>
              </w:rPr>
              <w:t>配备</w:t>
            </w:r>
          </w:p>
          <w:p w14:paraId="763D44C3">
            <w:pPr>
              <w:pStyle w:val="11"/>
              <w:tabs>
                <w:tab w:val="left" w:pos="6915"/>
                <w:tab w:val="clear" w:pos="1428"/>
              </w:tabs>
              <w:ind w:left="360" w:firstLine="0" w:firstLineChars="0"/>
              <w:jc w:val="left"/>
              <w:rPr>
                <w:iCs/>
                <w:szCs w:val="21"/>
              </w:rPr>
            </w:pPr>
            <w:r>
              <w:rPr>
                <w:rFonts w:hint="eastAsia"/>
                <w:iCs/>
                <w:szCs w:val="21"/>
              </w:rPr>
              <w:t>(</w:t>
            </w:r>
            <w:r>
              <w:rPr>
                <w:iCs/>
                <w:szCs w:val="21"/>
              </w:rPr>
              <w:t>1) 自动对焦</w:t>
            </w:r>
            <w:r>
              <w:rPr>
                <w:rFonts w:hint="eastAsia"/>
                <w:iCs/>
                <w:szCs w:val="21"/>
              </w:rPr>
              <w:t>红外测温仪1台，测温范围</w:t>
            </w:r>
            <w:r>
              <w:rPr>
                <w:iCs/>
                <w:szCs w:val="21"/>
              </w:rPr>
              <w:t>200-1</w:t>
            </w:r>
            <w:r>
              <w:rPr>
                <w:rFonts w:hint="eastAsia"/>
                <w:iCs/>
                <w:szCs w:val="21"/>
              </w:rPr>
              <w:t>0</w:t>
            </w:r>
            <w:r>
              <w:rPr>
                <w:iCs/>
                <w:szCs w:val="21"/>
              </w:rPr>
              <w:t>00℃</w:t>
            </w:r>
            <w:r>
              <w:rPr>
                <w:rFonts w:hint="eastAsia"/>
                <w:iCs/>
                <w:szCs w:val="21"/>
              </w:rPr>
              <w:t>以上；</w:t>
            </w:r>
          </w:p>
          <w:p w14:paraId="0704E08B">
            <w:pPr>
              <w:pStyle w:val="11"/>
              <w:tabs>
                <w:tab w:val="left" w:pos="6915"/>
                <w:tab w:val="clear" w:pos="1428"/>
              </w:tabs>
              <w:ind w:left="360" w:firstLine="0" w:firstLineChars="0"/>
              <w:jc w:val="left"/>
              <w:rPr>
                <w:bCs/>
                <w:szCs w:val="21"/>
              </w:rPr>
            </w:pPr>
            <w:r>
              <w:rPr>
                <w:rFonts w:hint="eastAsia"/>
                <w:iCs/>
                <w:szCs w:val="21"/>
              </w:rPr>
              <w:t>(</w:t>
            </w:r>
            <w:r>
              <w:rPr>
                <w:iCs/>
                <w:szCs w:val="21"/>
              </w:rPr>
              <w:t xml:space="preserve">2) </w:t>
            </w:r>
            <w:r>
              <w:rPr>
                <w:rFonts w:hint="eastAsia"/>
                <w:bCs/>
                <w:szCs w:val="21"/>
              </w:rPr>
              <w:t>真空规1个：工作温度覆盖0-</w:t>
            </w:r>
            <w:r>
              <w:rPr>
                <w:bCs/>
                <w:szCs w:val="21"/>
              </w:rPr>
              <w:t>250°C</w:t>
            </w:r>
            <w:r>
              <w:rPr>
                <w:rFonts w:hint="eastAsia"/>
                <w:bCs/>
                <w:szCs w:val="21"/>
              </w:rPr>
              <w:t>，灵敏度不低于</w:t>
            </w:r>
            <w:r>
              <w:rPr>
                <w:bCs/>
                <w:szCs w:val="21"/>
              </w:rPr>
              <w:t xml:space="preserve"> 20 Torr⁻¹</w:t>
            </w:r>
            <w:r>
              <w:rPr>
                <w:rFonts w:hint="eastAsia"/>
                <w:bCs/>
                <w:szCs w:val="21"/>
              </w:rPr>
              <w:t>，压力测量范围至少覆盖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>8</w:t>
            </w:r>
            <w:r>
              <w:rPr>
                <w:bCs/>
                <w:szCs w:val="21"/>
              </w:rPr>
              <w:t>×10⁻¹²</w:t>
            </w:r>
            <w:r>
              <w:rPr>
                <w:rFonts w:hint="eastAsia"/>
                <w:bCs/>
                <w:szCs w:val="21"/>
              </w:rPr>
              <w:t>至</w:t>
            </w:r>
            <w:r>
              <w:rPr>
                <w:bCs/>
                <w:szCs w:val="21"/>
              </w:rPr>
              <w:t>1×10⁻³ mbar</w:t>
            </w:r>
            <w:r>
              <w:rPr>
                <w:rFonts w:hint="eastAsia"/>
                <w:bCs/>
                <w:szCs w:val="21"/>
              </w:rPr>
              <w:t>，测量精度不差于每个压力数量级内满量程的</w:t>
            </w:r>
            <w:r>
              <w:rPr>
                <w:bCs/>
                <w:szCs w:val="21"/>
              </w:rPr>
              <w:t>±20%</w:t>
            </w:r>
            <w:r>
              <w:rPr>
                <w:rFonts w:hint="eastAsia"/>
                <w:bCs/>
                <w:szCs w:val="21"/>
              </w:rPr>
              <w:t>；控制器本身至少支持</w:t>
            </w:r>
            <w:r>
              <w:rPr>
                <w:bCs/>
                <w:szCs w:val="21"/>
              </w:rPr>
              <w:t>RS232</w:t>
            </w:r>
            <w:r>
              <w:rPr>
                <w:rFonts w:hint="eastAsia"/>
                <w:bCs/>
                <w:szCs w:val="21"/>
              </w:rPr>
              <w:t>和</w:t>
            </w:r>
            <w:r>
              <w:rPr>
                <w:bCs/>
                <w:szCs w:val="21"/>
              </w:rPr>
              <w:t xml:space="preserve"> RS485</w:t>
            </w:r>
            <w:r>
              <w:rPr>
                <w:rFonts w:hint="eastAsia"/>
                <w:bCs/>
                <w:szCs w:val="21"/>
              </w:rPr>
              <w:t>串行通信接口中的一种，方便与上位机进行数据交互与系统集成</w:t>
            </w:r>
            <w:r>
              <w:rPr>
                <w:bCs/>
                <w:szCs w:val="21"/>
              </w:rPr>
              <w:t>，</w:t>
            </w:r>
            <w:r>
              <w:rPr>
                <w:rFonts w:hint="eastAsia"/>
                <w:bCs/>
                <w:szCs w:val="21"/>
              </w:rPr>
              <w:t>及</w:t>
            </w:r>
            <w:r>
              <w:rPr>
                <w:bCs/>
                <w:szCs w:val="21"/>
              </w:rPr>
              <w:t>可烘烤连接线</w:t>
            </w:r>
            <w:r>
              <w:rPr>
                <w:rFonts w:hint="eastAsia"/>
                <w:bCs/>
                <w:szCs w:val="21"/>
              </w:rPr>
              <w:t>;</w:t>
            </w:r>
          </w:p>
          <w:p w14:paraId="4AE8AB23">
            <w:pPr>
              <w:pStyle w:val="11"/>
              <w:tabs>
                <w:tab w:val="left" w:pos="6915"/>
                <w:tab w:val="clear" w:pos="1428"/>
              </w:tabs>
              <w:ind w:left="360" w:firstLine="0" w:firstLineChars="0"/>
              <w:jc w:val="left"/>
              <w:rPr>
                <w:iCs/>
                <w:szCs w:val="21"/>
              </w:rPr>
            </w:pPr>
            <w:r>
              <w:rPr>
                <w:rFonts w:hint="eastAsia"/>
                <w:iCs/>
                <w:szCs w:val="21"/>
              </w:rPr>
              <w:t>(</w:t>
            </w:r>
            <w:r>
              <w:rPr>
                <w:iCs/>
                <w:szCs w:val="21"/>
              </w:rPr>
              <w:t>3) RHEED最大电子能量15keV，带Beam Rocking功能及自动软件控制</w:t>
            </w:r>
            <w:r>
              <w:rPr>
                <w:rFonts w:hint="eastAsia"/>
                <w:iCs/>
                <w:szCs w:val="21"/>
              </w:rPr>
              <w:t>，</w:t>
            </w:r>
            <w:r>
              <w:rPr>
                <w:iCs/>
                <w:szCs w:val="21"/>
              </w:rPr>
              <w:t>采集器CCD分辨率不低于1280x960，最小采集间隔</w:t>
            </w:r>
            <w:r>
              <w:rPr>
                <w:rFonts w:hint="eastAsia"/>
                <w:iCs/>
                <w:szCs w:val="21"/>
              </w:rPr>
              <w:t>≤</w:t>
            </w:r>
            <w:r>
              <w:rPr>
                <w:iCs/>
                <w:szCs w:val="21"/>
              </w:rPr>
              <w:t>0.05s，最小探测周期</w:t>
            </w:r>
            <w:r>
              <w:rPr>
                <w:rFonts w:hint="eastAsia"/>
                <w:iCs/>
                <w:szCs w:val="21"/>
              </w:rPr>
              <w:t>≤</w:t>
            </w:r>
            <w:r>
              <w:rPr>
                <w:iCs/>
                <w:szCs w:val="21"/>
              </w:rPr>
              <w:t>0.5s</w:t>
            </w:r>
            <w:r>
              <w:rPr>
                <w:rFonts w:hint="eastAsia"/>
                <w:iCs/>
                <w:szCs w:val="21"/>
              </w:rPr>
              <w:t>;</w:t>
            </w:r>
          </w:p>
          <w:p w14:paraId="7219977C">
            <w:pPr>
              <w:pStyle w:val="11"/>
              <w:tabs>
                <w:tab w:val="left" w:pos="6915"/>
                <w:tab w:val="clear" w:pos="1428"/>
              </w:tabs>
              <w:ind w:left="360" w:firstLine="0" w:firstLineChars="0"/>
              <w:jc w:val="left"/>
              <w:rPr>
                <w:bCs/>
                <w:szCs w:val="21"/>
              </w:rPr>
            </w:pPr>
            <w:r>
              <w:rPr>
                <w:rFonts w:hint="eastAsia"/>
                <w:iCs/>
                <w:szCs w:val="21"/>
              </w:rPr>
              <w:t>(</w:t>
            </w:r>
            <w:r>
              <w:rPr>
                <w:iCs/>
                <w:szCs w:val="21"/>
              </w:rPr>
              <w:t xml:space="preserve">4) </w:t>
            </w:r>
            <w:r>
              <w:rPr>
                <w:rFonts w:hint="eastAsia"/>
                <w:iCs/>
                <w:szCs w:val="21"/>
              </w:rPr>
              <w:t>为在氧压下工作，RHEED需有</w:t>
            </w:r>
            <w:r>
              <w:rPr>
                <w:iCs/>
                <w:szCs w:val="21"/>
              </w:rPr>
              <w:t>一级差分结构</w:t>
            </w:r>
            <w:r>
              <w:rPr>
                <w:rFonts w:hint="eastAsia"/>
                <w:iCs/>
                <w:szCs w:val="21"/>
              </w:rPr>
              <w:t>（分子泵由采购人自行准备）</w:t>
            </w:r>
            <w:r>
              <w:rPr>
                <w:iCs/>
                <w:szCs w:val="21"/>
              </w:rPr>
              <w:t>，手动插板阀，离子规，短管，波纹管</w:t>
            </w:r>
            <w:r>
              <w:rPr>
                <w:rFonts w:hint="eastAsia"/>
                <w:iCs/>
                <w:szCs w:val="21"/>
              </w:rPr>
              <w:t>等。</w:t>
            </w:r>
          </w:p>
          <w:p w14:paraId="04708999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bCs/>
                <w:szCs w:val="21"/>
              </w:rPr>
            </w:pPr>
            <w:r>
              <w:rPr>
                <w:iCs/>
                <w:szCs w:val="21"/>
              </w:rPr>
              <w:t>腔体支架</w:t>
            </w:r>
            <w:r>
              <w:rPr>
                <w:rFonts w:hint="eastAsia"/>
                <w:iCs/>
                <w:szCs w:val="21"/>
              </w:rPr>
              <w:t>：为接入真空互联系统，要求</w:t>
            </w:r>
            <w:r>
              <w:rPr>
                <w:iCs/>
                <w:szCs w:val="21"/>
              </w:rPr>
              <w:t>整体可移动，高度可调</w:t>
            </w:r>
            <w:r>
              <w:rPr>
                <w:rFonts w:hint="eastAsia"/>
                <w:iCs/>
                <w:szCs w:val="21"/>
              </w:rPr>
              <w:t>。</w:t>
            </w:r>
          </w:p>
          <w:p w14:paraId="49AA2D2A">
            <w:pPr>
              <w:pStyle w:val="11"/>
              <w:numPr>
                <w:ilvl w:val="0"/>
                <w:numId w:val="1"/>
              </w:numPr>
              <w:ind w:firstLineChars="0"/>
              <w:rPr>
                <w:bCs/>
                <w:szCs w:val="21"/>
              </w:rPr>
            </w:pPr>
            <w:r>
              <w:rPr>
                <w:bCs/>
                <w:szCs w:val="21"/>
              </w:rPr>
              <w:t>烘烤系统</w:t>
            </w:r>
            <w:r>
              <w:rPr>
                <w:rFonts w:hint="eastAsia"/>
                <w:bCs/>
                <w:szCs w:val="21"/>
              </w:rPr>
              <w:t>：</w:t>
            </w:r>
            <w:r>
              <w:rPr>
                <w:bCs/>
                <w:szCs w:val="21"/>
              </w:rPr>
              <w:t>整体式热风烘烤，</w:t>
            </w:r>
            <w:r>
              <w:rPr>
                <w:rFonts w:hint="eastAsia"/>
                <w:bCs/>
                <w:szCs w:val="21"/>
              </w:rPr>
              <w:t>需要包含</w:t>
            </w:r>
            <w:r>
              <w:rPr>
                <w:bCs/>
                <w:szCs w:val="21"/>
              </w:rPr>
              <w:t>加热模块、耐高温防火帐篷、</w:t>
            </w:r>
            <w:r>
              <w:rPr>
                <w:rFonts w:hint="eastAsia"/>
                <w:bCs/>
                <w:szCs w:val="21"/>
              </w:rPr>
              <w:t>帐篷</w:t>
            </w:r>
            <w:r>
              <w:rPr>
                <w:bCs/>
                <w:szCs w:val="21"/>
              </w:rPr>
              <w:t>支架、</w:t>
            </w:r>
            <w:r>
              <w:rPr>
                <w:rFonts w:hint="eastAsia"/>
                <w:bCs/>
                <w:szCs w:val="21"/>
              </w:rPr>
              <w:t>分段式</w:t>
            </w:r>
            <w:r>
              <w:rPr>
                <w:bCs/>
                <w:szCs w:val="21"/>
              </w:rPr>
              <w:t>温度控制，烘烤温度不低于135℃，PID控制</w:t>
            </w:r>
            <w:r>
              <w:rPr>
                <w:rFonts w:hint="eastAsia"/>
                <w:bCs/>
                <w:szCs w:val="21"/>
              </w:rPr>
              <w:t>。</w:t>
            </w:r>
          </w:p>
          <w:p w14:paraId="12A6D4E5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除明确标注采购人自备的分子泵与QCM外，</w:t>
            </w:r>
            <w:r>
              <w:rPr>
                <w:bCs/>
                <w:szCs w:val="21"/>
              </w:rPr>
              <w:t>腔体所需盲板法兰，无氧铜垫圈，成型波纹管，卡箍，螺丝等</w:t>
            </w:r>
            <w:r>
              <w:rPr>
                <w:rFonts w:hint="eastAsia"/>
                <w:bCs/>
                <w:szCs w:val="21"/>
              </w:rPr>
              <w:t>均由中标人提供，包含</w:t>
            </w:r>
            <w:r>
              <w:rPr>
                <w:iCs/>
                <w:szCs w:val="21"/>
              </w:rPr>
              <w:t>气动挡板阀1个，中空直线导入器2个，CF35视窗4个，挡板1个，CF63视窗及挡板各1，CF100视窗1个</w:t>
            </w:r>
            <w:r>
              <w:rPr>
                <w:rFonts w:hint="eastAsia"/>
                <w:iCs/>
                <w:szCs w:val="21"/>
              </w:rPr>
              <w:t>等</w:t>
            </w:r>
            <w:r>
              <w:rPr>
                <w:rFonts w:hint="eastAsia"/>
                <w:bCs/>
                <w:szCs w:val="21"/>
              </w:rPr>
              <w:t>。</w:t>
            </w:r>
          </w:p>
          <w:p w14:paraId="1F49E0C0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/>
                <w:bCs/>
                <w:szCs w:val="21"/>
              </w:rPr>
              <w:t>控制机柜等</w:t>
            </w:r>
            <w:r>
              <w:rPr>
                <w:bCs/>
                <w:szCs w:val="21"/>
              </w:rPr>
              <w:t>系统集成、安装</w:t>
            </w:r>
            <w:r>
              <w:rPr>
                <w:rFonts w:hint="eastAsia"/>
                <w:bCs/>
                <w:szCs w:val="21"/>
              </w:rPr>
              <w:t>工作由中标人完成</w:t>
            </w:r>
            <w:r>
              <w:rPr>
                <w:bCs/>
                <w:szCs w:val="21"/>
              </w:rPr>
              <w:t>。</w:t>
            </w:r>
            <w:bookmarkEnd w:id="0"/>
          </w:p>
          <w:p w14:paraId="6E985C65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3E294A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</w:rPr>
              <w:t>乙方于图纸确认后6个月将货物送达至甲方指定地点</w:t>
            </w:r>
            <w:r>
              <w:rPr>
                <w:rFonts w:ascii="宋体" w:hAnsi="宋体"/>
              </w:rPr>
              <w:t>。</w:t>
            </w:r>
          </w:p>
          <w:p w14:paraId="1634DFA1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</w:p>
          <w:p w14:paraId="379C6791">
            <w:pPr>
              <w:tabs>
                <w:tab w:val="left" w:pos="6915"/>
              </w:tabs>
              <w:ind w:left="420" w:leftChars="200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</w:rPr>
              <w:t>1) 合同签订后</w:t>
            </w:r>
            <w:r>
              <w:rPr>
                <w:rFonts w:hint="eastAsia" w:ascii="宋体" w:hAnsi="宋体"/>
              </w:rPr>
              <w:t>1个月内由乙方提供图纸，并需由甲方签字确认</w:t>
            </w:r>
            <w:r>
              <w:rPr>
                <w:rFonts w:ascii="宋体" w:hAnsi="宋体"/>
              </w:rPr>
              <w:t>；</w:t>
            </w:r>
            <w:r>
              <w:rPr>
                <w:rFonts w:ascii="宋体" w:hAnsi="宋体"/>
              </w:rPr>
              <w:br w:type="textWrapping"/>
            </w:r>
            <w:r>
              <w:rPr>
                <w:rFonts w:ascii="宋体" w:hAnsi="宋体"/>
              </w:rPr>
              <w:t xml:space="preserve">2) </w:t>
            </w:r>
            <w:r>
              <w:rPr>
                <w:rFonts w:hint="eastAsia" w:ascii="宋体" w:hAnsi="宋体"/>
              </w:rPr>
              <w:t>图纸确认后6个月内完成产品加工；</w:t>
            </w:r>
            <w:r>
              <w:rPr>
                <w:rFonts w:ascii="宋体" w:hAnsi="宋体"/>
              </w:rPr>
              <w:br w:type="textWrapping"/>
            </w:r>
            <w:r>
              <w:rPr>
                <w:rFonts w:ascii="宋体" w:hAnsi="宋体"/>
              </w:rPr>
              <w:t>3) 发货前提供出厂检验/测试报告；</w:t>
            </w:r>
            <w:r>
              <w:rPr>
                <w:rFonts w:ascii="宋体" w:hAnsi="宋体"/>
              </w:rPr>
              <w:br w:type="textWrapping"/>
            </w:r>
            <w:r>
              <w:rPr>
                <w:rFonts w:ascii="宋体" w:hAnsi="宋体"/>
              </w:rPr>
              <w:t>4) 到货后完成开箱验收、安装指导/调试支持及使用培训。</w:t>
            </w:r>
          </w:p>
          <w:p w14:paraId="2B72D01B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</w:rPr>
              <w:t>双方</w:t>
            </w:r>
            <w:r>
              <w:rPr>
                <w:rFonts w:ascii="宋体" w:hAnsi="宋体"/>
              </w:rPr>
              <w:t>合同签订后预付</w:t>
            </w:r>
            <w:r>
              <w:rPr>
                <w:rFonts w:hint="eastAsia" w:ascii="宋体" w:hAnsi="宋体"/>
              </w:rPr>
              <w:t>40</w:t>
            </w:r>
            <w:r>
              <w:rPr>
                <w:rFonts w:ascii="宋体" w:hAnsi="宋体"/>
              </w:rPr>
              <w:t>%货款，</w:t>
            </w:r>
            <w:r>
              <w:rPr>
                <w:rFonts w:hint="eastAsia" w:ascii="宋体" w:hAnsi="宋体"/>
              </w:rPr>
              <w:t>验收合格后付清6</w:t>
            </w:r>
            <w:r>
              <w:rPr>
                <w:rFonts w:ascii="宋体" w:hAnsi="宋体"/>
              </w:rPr>
              <w:t>0%尾款。</w:t>
            </w:r>
          </w:p>
          <w:p w14:paraId="3364DAC1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 w:ascii="宋体" w:hAnsi="宋体"/>
              </w:rPr>
              <w:t>提供出厂合格证或出厂测试报告</w:t>
            </w:r>
            <w:r>
              <w:rPr>
                <w:rFonts w:ascii="宋体" w:hAnsi="宋体"/>
              </w:rPr>
              <w:t>。</w:t>
            </w:r>
          </w:p>
          <w:p w14:paraId="52B349ED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阶段</w:t>
            </w:r>
            <w:r>
              <w:rPr>
                <w:rFonts w:ascii="宋体" w:hAnsi="宋体"/>
                <w:b/>
                <w:szCs w:val="21"/>
              </w:rPr>
              <w:t>性检查要求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</w:p>
          <w:p w14:paraId="6D36D77A">
            <w:pPr>
              <w:tabs>
                <w:tab w:val="left" w:pos="6915"/>
              </w:tabs>
              <w:ind w:left="420" w:leftChars="200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</w:rPr>
              <w:t>1) 图纸/接口尺寸确认；</w:t>
            </w:r>
            <w:r>
              <w:rPr>
                <w:rFonts w:ascii="宋体" w:hAnsi="宋体"/>
              </w:rPr>
              <w:br w:type="textWrapping"/>
            </w:r>
            <w:r>
              <w:rPr>
                <w:rFonts w:ascii="宋体" w:hAnsi="宋体"/>
              </w:rPr>
              <w:t>2) 出厂前阶段性检查：关键部件装配、</w:t>
            </w:r>
            <w:r>
              <w:rPr>
                <w:rFonts w:hint="eastAsia" w:ascii="宋体" w:hAnsi="宋体"/>
              </w:rPr>
              <w:t>检漏</w:t>
            </w:r>
            <w:r>
              <w:rPr>
                <w:rFonts w:ascii="宋体" w:hAnsi="宋体"/>
              </w:rPr>
              <w:t>与功能测试记录；</w:t>
            </w:r>
            <w:r>
              <w:rPr>
                <w:rFonts w:ascii="宋体" w:hAnsi="宋体"/>
              </w:rPr>
              <w:br w:type="textWrapping"/>
            </w:r>
            <w:r>
              <w:rPr>
                <w:rFonts w:ascii="宋体" w:hAnsi="宋体"/>
              </w:rPr>
              <w:t>3) 发货前可进行远程或现场预验收。</w:t>
            </w:r>
          </w:p>
          <w:p w14:paraId="6BF551B0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</w:p>
          <w:p w14:paraId="647CA55E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</w:rPr>
              <w:t>乙方对其所提供设备的免费保修期为12个月</w:t>
            </w:r>
            <w:r>
              <w:rPr>
                <w:rFonts w:ascii="宋体" w:hAnsi="宋体"/>
              </w:rPr>
              <w:t>。</w:t>
            </w:r>
            <w:r>
              <w:rPr>
                <w:rFonts w:hint="eastAsia" w:ascii="宋体" w:hAnsi="宋体"/>
              </w:rPr>
              <w:t>质保期内，非人为故障所需更换的零部件，不另外收取人工费和差旅费。</w:t>
            </w:r>
            <w:bookmarkStart w:id="1" w:name="_GoBack"/>
            <w:bookmarkEnd w:id="1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704D7F"/>
    <w:multiLevelType w:val="multilevel"/>
    <w:tmpl w:val="7B704D7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  <w:szCs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0CB45303"/>
    <w:rsid w:val="0E0859DD"/>
    <w:rsid w:val="160B00C6"/>
    <w:rsid w:val="2D070EC5"/>
    <w:rsid w:val="46BB5348"/>
    <w:rsid w:val="51936088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1191</Words>
  <Characters>1403</Characters>
  <Lines>4</Lines>
  <Paragraphs>1</Paragraphs>
  <TotalTime>0</TotalTime>
  <ScaleCrop>false</ScaleCrop>
  <LinksUpToDate>false</LinksUpToDate>
  <CharactersWithSpaces>1447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2026-07-13T09:52:52Z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