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氧含量探测监测系统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C50269D">
            <w:pPr>
              <w:spacing w:line="24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一、系统概述</w:t>
            </w:r>
          </w:p>
          <w:p w14:paraId="39E62163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本项目为合肥先进光源低温系统</w:t>
            </w:r>
            <w:r>
              <w:rPr>
                <w:rFonts w:hint="eastAsia" w:eastAsiaTheme="minorEastAsia"/>
                <w:szCs w:val="21"/>
              </w:rPr>
              <w:t>的氧含量探测监测系统</w:t>
            </w:r>
            <w:r>
              <w:rPr>
                <w:rFonts w:eastAsiaTheme="minorEastAsia"/>
                <w:szCs w:val="21"/>
              </w:rPr>
              <w:t>，监测范围涵盖能源中心低温厅、储存环高频厅，采用泵吸式氧浓度泄漏侦测，监测室内液氮、液氦设备环境氧浓度。两区域附近控制室各设1台数据采集器，采集对应区域探头数据并传输至低温系统平台接口。</w:t>
            </w:r>
          </w:p>
          <w:p w14:paraId="4C9BB053">
            <w:pPr>
              <w:spacing w:line="24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二、参考依据</w:t>
            </w:r>
          </w:p>
          <w:p w14:paraId="0BC8466F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GB 50493-2019、GB 15322.1-2019、GB 12358-2006等国家及行业电气安全、施工验收规范，安全生产相关法律法规。</w:t>
            </w:r>
          </w:p>
          <w:p w14:paraId="1D42C17B">
            <w:pPr>
              <w:spacing w:line="24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三、点位分布</w:t>
            </w:r>
          </w:p>
          <w:p w14:paraId="25054528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1.数据采集器：能源中心低温系统控制室、储存环高频厅附近控制室各1套；</w:t>
            </w:r>
          </w:p>
          <w:p w14:paraId="563ACF38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2.泵吸式泄漏侦测：能源中心低温厅7套、储存环高频厅4套；</w:t>
            </w:r>
          </w:p>
          <w:p w14:paraId="292C8052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3.声光报警器：能源中心低温厅外、储存环高频厅附近控制室外各1套；</w:t>
            </w:r>
          </w:p>
          <w:p w14:paraId="2B438FA0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4.辅材调试及安装：1项。</w:t>
            </w:r>
          </w:p>
          <w:p w14:paraId="59E9ABB0">
            <w:pPr>
              <w:spacing w:line="240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四、产品参数</w:t>
            </w:r>
          </w:p>
          <w:p w14:paraId="746C7279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1.泄漏侦测探头：规格：液晶显示、声光报警一体机</w:t>
            </w:r>
          </w:p>
          <w:p w14:paraId="7F708F9A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1.1检测原理：电化学式</w:t>
            </w:r>
          </w:p>
          <w:p w14:paraId="1C420CB2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1.2 采样方式：泵吸式</w:t>
            </w:r>
          </w:p>
          <w:p w14:paraId="2CEDC4FC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1.3 工作电源：DC24V±10%</w:t>
            </w:r>
          </w:p>
          <w:p w14:paraId="38AAB37E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1.4显示方式：液晶屏显示</w:t>
            </w:r>
          </w:p>
          <w:p w14:paraId="07B4A83E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1.5 报警方式：声音+光闪烁</w:t>
            </w:r>
          </w:p>
          <w:p w14:paraId="38A7003B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1.6 输出信号：三线制4-20 mA模拟信号/RS485总线制数字信号</w:t>
            </w:r>
          </w:p>
          <w:p w14:paraId="79C0A9A0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1.7 开 关 量：2个（二级报警点常开）</w:t>
            </w:r>
          </w:p>
          <w:p w14:paraId="6F38694A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1.8 功    耗：≤3W</w:t>
            </w:r>
          </w:p>
          <w:p w14:paraId="622C39FC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1.9 调试方式：红外遥控</w:t>
            </w:r>
          </w:p>
          <w:p w14:paraId="55B96D5C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1.10 环境温度：可燃-40℃-70℃  ，有毒 -20℃－50℃</w:t>
            </w:r>
          </w:p>
          <w:p w14:paraId="45A54314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1.11 相对湿度：＜95% 无冷凝</w:t>
            </w:r>
          </w:p>
          <w:p w14:paraId="700B3C3E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1.12 压力限制：86 kPa～106 kPa</w:t>
            </w:r>
          </w:p>
          <w:p w14:paraId="7A12F887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1.13 整机重量：≤3000 g</w:t>
            </w:r>
          </w:p>
          <w:p w14:paraId="44D5435C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1.14 防爆方式：隔爆型</w:t>
            </w:r>
          </w:p>
          <w:p w14:paraId="4486050D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1.15 防爆等级：ExdIICT6Gb</w:t>
            </w:r>
          </w:p>
          <w:p w14:paraId="647C9B63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1.16 防爆证号：CE21.0271</w:t>
            </w:r>
          </w:p>
          <w:p w14:paraId="1B6212BD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1.17 防护等级：IP66</w:t>
            </w:r>
          </w:p>
          <w:p w14:paraId="1C75941C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1.18 声光报警器声呗：85dB</w:t>
            </w:r>
          </w:p>
          <w:p w14:paraId="65BFB988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1.19 壳体材质：压铸铝</w:t>
            </w:r>
          </w:p>
          <w:p w14:paraId="073D7B90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此外，泄漏侦测探头</w:t>
            </w:r>
            <w:r>
              <w:rPr>
                <w:rFonts w:eastAsiaTheme="minorEastAsia"/>
                <w:szCs w:val="21"/>
              </w:rPr>
              <w:t>具备CE认证、ExdIICT6Gb:ExtDA21IP66T80°C防爆认证。</w:t>
            </w:r>
          </w:p>
          <w:p w14:paraId="5CB9FF07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2.数据采集器：嵌入式核心系统；模拟量输入≥16 端口，开关量输入输出≥16 路可配置（根据现场实际选择信号输入）；RS485 标准总线通讯；具备本地数据显示，屏幕≥7寸；自适应以太网通讯/4G无线通讯。</w:t>
            </w:r>
            <w:r>
              <w:rPr>
                <w:rFonts w:hint="eastAsia" w:eastAsiaTheme="minorEastAsia"/>
                <w:szCs w:val="21"/>
              </w:rPr>
              <w:t>芯片应提供第三方检测机构出具的带有CMA或CNAS标识的的检测报告，检测应根据GB/T4588.2、GB/T 4677-2022的标准进行Rohs、可焊性测试、阻焊膜硬度测试等功能测试，测试结果为合格。</w:t>
            </w:r>
          </w:p>
          <w:p w14:paraId="6679A6D4">
            <w:pPr>
              <w:spacing w:line="240" w:lineRule="auto"/>
              <w:ind w:firstLine="420" w:firstLineChars="200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</w:t>
            </w:r>
            <w:r>
              <w:rPr>
                <w:rFonts w:hint="eastAsia" w:eastAsiaTheme="minorEastAsia"/>
                <w:szCs w:val="21"/>
              </w:rPr>
              <w:t>.泄漏报警系统需集成至特殊气体管理控制系统，特殊气体管理控制系统功能性检测（系统测试需求包括但不限于登录界面、首页、设施管理、安全管理、运维管理、数据中心、权限管理、系统管理、智慧园区管理、新闻管理、用户管理、客户管理等功能，所有功能在测试期间可稳定运行），检测结果为合格或符合并提供第三方检验检测机构出具的带有CMA或CNAS标识的有效检验检测报告。</w:t>
            </w:r>
          </w:p>
          <w:p w14:paraId="2C2EDE98">
            <w:pPr>
              <w:spacing w:line="240" w:lineRule="auto"/>
              <w:ind w:firstLine="420" w:firstLineChars="20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eastAsiaTheme="minorEastAsia"/>
                <w:szCs w:val="21"/>
              </w:rPr>
              <w:t>4.线缆规格：阻燃无卤型。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3E482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60个工作日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74A88A96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60个工作日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3A5507EC">
            <w:pPr>
              <w:tabs>
                <w:tab w:val="left" w:pos="6915"/>
              </w:tabs>
              <w:spacing w:line="240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eastAsiaTheme="minorEastAsia"/>
                <w:szCs w:val="21"/>
              </w:rPr>
              <w:t>合同签订并通过工艺评审后，支付合同总价的</w:t>
            </w:r>
            <w:r>
              <w:rPr>
                <w:rFonts w:eastAsiaTheme="minorEastAsia"/>
                <w:szCs w:val="21"/>
              </w:rPr>
              <w:t>40%</w:t>
            </w:r>
            <w:r>
              <w:rPr>
                <w:rFonts w:hint="eastAsia" w:eastAsiaTheme="minorEastAsia"/>
                <w:szCs w:val="21"/>
              </w:rPr>
              <w:t>；完成安装调试，支付合同总价的</w:t>
            </w:r>
            <w:r>
              <w:rPr>
                <w:rFonts w:eastAsiaTheme="minorEastAsia"/>
                <w:szCs w:val="21"/>
              </w:rPr>
              <w:t>40%</w:t>
            </w:r>
            <w:r>
              <w:rPr>
                <w:rFonts w:hint="eastAsia" w:eastAsiaTheme="minorEastAsia"/>
                <w:szCs w:val="21"/>
              </w:rPr>
              <w:t>；全部现场安装完成并经验收合格后，支付合同总价的</w:t>
            </w:r>
            <w:r>
              <w:rPr>
                <w:rFonts w:eastAsiaTheme="minorEastAsia"/>
                <w:szCs w:val="21"/>
              </w:rPr>
              <w:t xml:space="preserve"> 20%</w:t>
            </w:r>
            <w:r>
              <w:rPr>
                <w:rFonts w:hint="eastAsia" w:eastAsiaTheme="minorEastAsia"/>
                <w:szCs w:val="21"/>
              </w:rPr>
              <w:t>。</w:t>
            </w:r>
          </w:p>
          <w:p w14:paraId="161F788E">
            <w:pPr>
              <w:tabs>
                <w:tab w:val="left" w:pos="6915"/>
              </w:tabs>
              <w:spacing w:line="240" w:lineRule="auto"/>
              <w:ind w:firstLine="630" w:firstLineChars="3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注：最后一次付款前，供应商须向采购人提供</w:t>
            </w:r>
            <w:r>
              <w:rPr>
                <w:rFonts w:eastAsiaTheme="minorEastAsia"/>
                <w:szCs w:val="21"/>
              </w:rPr>
              <w:t xml:space="preserve"> 100%</w:t>
            </w:r>
            <w:r>
              <w:rPr>
                <w:rFonts w:hint="eastAsia" w:eastAsiaTheme="minorEastAsia"/>
                <w:szCs w:val="21"/>
              </w:rPr>
              <w:t>合同价款的正规增值税专用发票。</w:t>
            </w:r>
          </w:p>
          <w:p w14:paraId="50609E60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2E4F9D54">
            <w:pPr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货物的到货验收包括：型号、规格、数量、外观质量及货物包装是否完好。</w:t>
            </w:r>
          </w:p>
          <w:p w14:paraId="3F535F5B">
            <w:pPr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验收指标以产品技术要求的规格参数为依据</w:t>
            </w:r>
            <w:r>
              <w:rPr>
                <w:rFonts w:hint="eastAsia" w:eastAsiaTheme="minorEastAsia"/>
                <w:szCs w:val="21"/>
              </w:rPr>
              <w:t>（性能精度：显示值与标准气浓度误差≤±3%FS；零点漂移≤±2%FS；重复性≤±2%；响应时间≤30S）</w:t>
            </w:r>
            <w:r>
              <w:rPr>
                <w:rFonts w:eastAsiaTheme="minorEastAsia"/>
                <w:szCs w:val="21"/>
              </w:rPr>
              <w:t>。</w:t>
            </w:r>
          </w:p>
          <w:p w14:paraId="3364DAC1">
            <w:pPr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联合调试，供应商应在验收合格之日起一年内，根据采购人需要配合采购人进行联合调试。</w:t>
            </w:r>
          </w:p>
          <w:p w14:paraId="1D800D0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73D468F1">
            <w:pPr>
              <w:numPr>
                <w:ilvl w:val="0"/>
                <w:numId w:val="2"/>
              </w:numPr>
              <w:tabs>
                <w:tab w:val="left" w:pos="6915"/>
              </w:tabs>
              <w:spacing w:line="240" w:lineRule="auto"/>
              <w:jc w:val="lef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本产品保修期一年，正常使用情况出现故障，可享受免费工厂维修(易损件除外)、维护服务。对于人为及自然灾害、非正常使用所造成的损害不属保修范围。</w:t>
            </w:r>
          </w:p>
          <w:p w14:paraId="0F77E221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eastAsiaTheme="minorEastAsia"/>
                <w:szCs w:val="21"/>
              </w:rPr>
              <w:t>若传感器寿命到期，可更换新的传感器（质保期外仅收取人工材料费）。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F857EF"/>
    <w:multiLevelType w:val="singleLevel"/>
    <w:tmpl w:val="EAF857EF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abstractNum w:abstractNumId="1">
    <w:nsid w:val="4BF58051"/>
    <w:multiLevelType w:val="singleLevel"/>
    <w:tmpl w:val="4BF58051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2AE2CF1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2026-05-12T03:05:53Z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