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7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BL08-实验站段真空连接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4BD84D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在合肥先进光源的首批建设线站中，高通量原位工况中能谱学线站（BL08）建设有三个实验站，实验站之间需要真空管道进行连接，同时为了实现光强检测，实验站间需配备光强检测和节流系统。</w:t>
            </w:r>
          </w:p>
          <w:p w14:paraId="74BE35DB">
            <w:pPr>
              <w:spacing w:line="240" w:lineRule="auto"/>
              <w:ind w:firstLine="482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设备清单如下。</w:t>
            </w:r>
            <w:bookmarkStart w:id="2" w:name="_GoBack"/>
            <w:bookmarkEnd w:id="2"/>
          </w:p>
          <w:tbl>
            <w:tblPr>
              <w:tblStyle w:val="6"/>
              <w:tblW w:w="505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6"/>
              <w:gridCol w:w="833"/>
              <w:gridCol w:w="1870"/>
              <w:gridCol w:w="1870"/>
            </w:tblGrid>
            <w:tr w14:paraId="6278E9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486" w:type="dxa"/>
                  <w:vAlign w:val="center"/>
                </w:tcPr>
                <w:p w14:paraId="6CB8B239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14:paraId="29E80A23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6E58F3B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设备清单</w:t>
                  </w:r>
                </w:p>
              </w:tc>
              <w:tc>
                <w:tcPr>
                  <w:tcW w:w="1870" w:type="dxa"/>
                  <w:vAlign w:val="center"/>
                </w:tcPr>
                <w:p w14:paraId="284BD349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数量</w:t>
                  </w:r>
                </w:p>
              </w:tc>
            </w:tr>
            <w:tr w14:paraId="208AB6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75" w:hRule="atLeast"/>
              </w:trPr>
              <w:tc>
                <w:tcPr>
                  <w:tcW w:w="486" w:type="dxa"/>
                  <w:vAlign w:val="center"/>
                </w:tcPr>
                <w:p w14:paraId="36279287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33" w:type="dxa"/>
                  <w:vAlign w:val="center"/>
                </w:tcPr>
                <w:p w14:paraId="15B5C669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真空系统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7EE9759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真空腔体，含真空配件如法兰盲板、法兰视窗、转接组件等，法兰口不少于</w:t>
                  </w:r>
                  <w:r>
                    <w:rPr>
                      <w:sz w:val="22"/>
                      <w:szCs w:val="22"/>
                    </w:rPr>
                    <w:t>6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  <w:tc>
                <w:tcPr>
                  <w:tcW w:w="1870" w:type="dxa"/>
                  <w:vAlign w:val="center"/>
                </w:tcPr>
                <w:p w14:paraId="1DA0F8F6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套</w:t>
                  </w:r>
                </w:p>
              </w:tc>
            </w:tr>
            <w:tr w14:paraId="45CFA3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486" w:type="dxa"/>
                  <w:vMerge w:val="restart"/>
                  <w:vAlign w:val="center"/>
                </w:tcPr>
                <w:p w14:paraId="4D341E7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bookmarkStart w:id="0" w:name="_Hlk235519391"/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41EFBC7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真空管道</w:t>
                  </w:r>
                </w:p>
              </w:tc>
              <w:tc>
                <w:tcPr>
                  <w:tcW w:w="1870" w:type="dxa"/>
                  <w:vAlign w:val="center"/>
                </w:tcPr>
                <w:p w14:paraId="49562830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</w:t>
                  </w:r>
                  <w:r>
                    <w:rPr>
                      <w:sz w:val="22"/>
                      <w:szCs w:val="22"/>
                    </w:rPr>
                    <w:t>35</w:t>
                  </w:r>
                  <w:r>
                    <w:rPr>
                      <w:rFonts w:hint="eastAsia"/>
                      <w:sz w:val="22"/>
                      <w:szCs w:val="22"/>
                    </w:rPr>
                    <w:t>真空管道</w:t>
                  </w:r>
                </w:p>
              </w:tc>
              <w:tc>
                <w:tcPr>
                  <w:tcW w:w="1870" w:type="dxa"/>
                  <w:vAlign w:val="center"/>
                </w:tcPr>
                <w:p w14:paraId="35E86562">
                  <w:pPr>
                    <w:spacing w:line="240" w:lineRule="auto"/>
                    <w:jc w:val="center"/>
                    <w:rPr>
                      <w:rFonts w:hint="eastAsia"/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总长度不小于2 m</w:t>
                  </w:r>
                </w:p>
              </w:tc>
            </w:tr>
            <w:bookmarkEnd w:id="0"/>
            <w:tr w14:paraId="2D8460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1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0983F7A0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3875062F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4D692F1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</w:t>
                  </w:r>
                  <w:r>
                    <w:rPr>
                      <w:sz w:val="22"/>
                      <w:szCs w:val="22"/>
                    </w:rPr>
                    <w:t>63</w:t>
                  </w:r>
                  <w:r>
                    <w:rPr>
                      <w:rFonts w:hint="eastAsia"/>
                      <w:sz w:val="22"/>
                      <w:szCs w:val="22"/>
                    </w:rPr>
                    <w:t>真空管道</w:t>
                  </w:r>
                </w:p>
              </w:tc>
              <w:tc>
                <w:tcPr>
                  <w:tcW w:w="1870" w:type="dxa"/>
                  <w:vAlign w:val="center"/>
                </w:tcPr>
                <w:p w14:paraId="21ABF41F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总长度不小于4 m</w:t>
                  </w:r>
                </w:p>
              </w:tc>
            </w:tr>
            <w:tr w14:paraId="666FB5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67823BCC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475C1366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13263F38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CF100</w:t>
                  </w:r>
                  <w:r>
                    <w:rPr>
                      <w:rFonts w:hint="eastAsia"/>
                      <w:sz w:val="22"/>
                      <w:szCs w:val="22"/>
                    </w:rPr>
                    <w:t>真空管道</w:t>
                  </w:r>
                </w:p>
              </w:tc>
              <w:tc>
                <w:tcPr>
                  <w:tcW w:w="1870" w:type="dxa"/>
                  <w:vAlign w:val="center"/>
                </w:tcPr>
                <w:p w14:paraId="07157CC2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总长度不小于2 m</w:t>
                  </w:r>
                </w:p>
              </w:tc>
            </w:tr>
            <w:tr w14:paraId="3FEE96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54E0B2A9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1DBC89D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78064C40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</w:t>
                  </w:r>
                  <w:r>
                    <w:rPr>
                      <w:sz w:val="22"/>
                      <w:szCs w:val="22"/>
                    </w:rPr>
                    <w:t>35</w:t>
                  </w:r>
                  <w:r>
                    <w:rPr>
                      <w:rFonts w:hint="eastAsia"/>
                      <w:sz w:val="22"/>
                      <w:szCs w:val="22"/>
                    </w:rPr>
                    <w:t>波纹管</w:t>
                  </w:r>
                </w:p>
              </w:tc>
              <w:tc>
                <w:tcPr>
                  <w:tcW w:w="1870" w:type="dxa"/>
                  <w:vAlign w:val="center"/>
                </w:tcPr>
                <w:p w14:paraId="407181F0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10A121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4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73EE1760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59BB494C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503BB41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CF63</w:t>
                  </w:r>
                  <w:r>
                    <w:rPr>
                      <w:rFonts w:hint="eastAsia"/>
                      <w:sz w:val="22"/>
                      <w:szCs w:val="22"/>
                    </w:rPr>
                    <w:t>波纹管</w:t>
                  </w:r>
                </w:p>
              </w:tc>
              <w:tc>
                <w:tcPr>
                  <w:tcW w:w="1870" w:type="dxa"/>
                  <w:vAlign w:val="center"/>
                </w:tcPr>
                <w:p w14:paraId="17CC58A2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528348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289F5278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6A8AF843">
                  <w:pPr>
                    <w:spacing w:line="240" w:lineRule="auto"/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28899ADA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</w:t>
                  </w:r>
                  <w:r>
                    <w:rPr>
                      <w:sz w:val="22"/>
                      <w:szCs w:val="22"/>
                    </w:rPr>
                    <w:t>100</w:t>
                  </w:r>
                  <w:r>
                    <w:rPr>
                      <w:rFonts w:hint="eastAsia"/>
                      <w:sz w:val="22"/>
                      <w:szCs w:val="22"/>
                    </w:rPr>
                    <w:t>波纹管</w:t>
                  </w:r>
                </w:p>
              </w:tc>
              <w:tc>
                <w:tcPr>
                  <w:tcW w:w="1870" w:type="dxa"/>
                  <w:vAlign w:val="center"/>
                </w:tcPr>
                <w:p w14:paraId="4645DFD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25E3C2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486" w:type="dxa"/>
                  <w:vMerge w:val="restart"/>
                  <w:vAlign w:val="center"/>
                </w:tcPr>
                <w:p w14:paraId="2C292EDB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770B388D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线性驱动器</w:t>
                  </w:r>
                </w:p>
              </w:tc>
              <w:tc>
                <w:tcPr>
                  <w:tcW w:w="1870" w:type="dxa"/>
                  <w:vAlign w:val="center"/>
                </w:tcPr>
                <w:p w14:paraId="4B76FAA8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CF35</w:t>
                  </w:r>
                </w:p>
              </w:tc>
              <w:tc>
                <w:tcPr>
                  <w:tcW w:w="1870" w:type="dxa"/>
                  <w:vAlign w:val="center"/>
                </w:tcPr>
                <w:p w14:paraId="2115E4FB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268964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4BDF67AA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2FB85FBF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6791A8A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CF63</w:t>
                  </w:r>
                </w:p>
              </w:tc>
              <w:tc>
                <w:tcPr>
                  <w:tcW w:w="1870" w:type="dxa"/>
                  <w:vAlign w:val="center"/>
                </w:tcPr>
                <w:p w14:paraId="63AED25B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143A97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3" w:hRule="atLeast"/>
              </w:trPr>
              <w:tc>
                <w:tcPr>
                  <w:tcW w:w="486" w:type="dxa"/>
                  <w:vAlign w:val="center"/>
                </w:tcPr>
                <w:p w14:paraId="4642AD14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33" w:type="dxa"/>
                  <w:vAlign w:val="center"/>
                </w:tcPr>
                <w:p w14:paraId="650A3AD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节流系统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43C8219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不锈钢节流片，集成到真空管道内</w:t>
                  </w:r>
                </w:p>
              </w:tc>
              <w:tc>
                <w:tcPr>
                  <w:tcW w:w="1870" w:type="dxa"/>
                  <w:vAlign w:val="center"/>
                </w:tcPr>
                <w:p w14:paraId="00B625A6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套</w:t>
                  </w:r>
                </w:p>
              </w:tc>
            </w:tr>
            <w:tr w14:paraId="692E80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7" w:hRule="atLeast"/>
              </w:trPr>
              <w:tc>
                <w:tcPr>
                  <w:tcW w:w="486" w:type="dxa"/>
                  <w:vMerge w:val="restart"/>
                  <w:vAlign w:val="center"/>
                </w:tcPr>
                <w:p w14:paraId="35B360E4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5BC0CA2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光电二极管系统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0359596A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光电二极管</w:t>
                  </w:r>
                </w:p>
              </w:tc>
              <w:tc>
                <w:tcPr>
                  <w:tcW w:w="1870" w:type="dxa"/>
                  <w:vAlign w:val="center"/>
                </w:tcPr>
                <w:p w14:paraId="2679484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20F3A4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7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21594937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4BAED7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10384894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光电二极管真空支撑</w:t>
                  </w:r>
                </w:p>
              </w:tc>
              <w:tc>
                <w:tcPr>
                  <w:tcW w:w="1870" w:type="dxa"/>
                  <w:vAlign w:val="center"/>
                </w:tcPr>
                <w:p w14:paraId="02E48FB2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199A12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6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0B6C80E0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4723AC3C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C70B7E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旋转导入机构</w:t>
                  </w:r>
                </w:p>
              </w:tc>
              <w:tc>
                <w:tcPr>
                  <w:tcW w:w="1870" w:type="dxa"/>
                  <w:vAlign w:val="center"/>
                </w:tcPr>
                <w:p w14:paraId="283AC506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0A6E4B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6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2D2A7C45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13EB8A5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C718D95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BNC线缆</w:t>
                  </w:r>
                </w:p>
              </w:tc>
              <w:tc>
                <w:tcPr>
                  <w:tcW w:w="1870" w:type="dxa"/>
                  <w:vAlign w:val="center"/>
                </w:tcPr>
                <w:p w14:paraId="24F67E0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套，不少于2米</w:t>
                  </w:r>
                </w:p>
              </w:tc>
            </w:tr>
            <w:tr w14:paraId="3E6660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65AC5245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21FCCF5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B16119B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BNC馈通法兰</w:t>
                  </w:r>
                </w:p>
              </w:tc>
              <w:tc>
                <w:tcPr>
                  <w:tcW w:w="1870" w:type="dxa"/>
                  <w:vAlign w:val="center"/>
                </w:tcPr>
                <w:p w14:paraId="153E7E39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CF35，</w:t>
                  </w:r>
                  <w:r>
                    <w:rPr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7FBE7B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0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0C2B94E8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298FF23F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金网系统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394F03F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金网及其夹持机构</w:t>
                  </w:r>
                </w:p>
              </w:tc>
              <w:tc>
                <w:tcPr>
                  <w:tcW w:w="1870" w:type="dxa"/>
                  <w:vAlign w:val="center"/>
                </w:tcPr>
                <w:p w14:paraId="0A346ADB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5144B3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4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46B72CAF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5E0BE770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77550A0E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旋转导入机构</w:t>
                  </w:r>
                </w:p>
              </w:tc>
              <w:tc>
                <w:tcPr>
                  <w:tcW w:w="1870" w:type="dxa"/>
                  <w:vAlign w:val="center"/>
                </w:tcPr>
                <w:p w14:paraId="7F316CCE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7329C4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7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019811D4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48D09F6E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491CC486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BNC线缆</w:t>
                  </w:r>
                </w:p>
              </w:tc>
              <w:tc>
                <w:tcPr>
                  <w:tcW w:w="1870" w:type="dxa"/>
                  <w:vAlign w:val="center"/>
                </w:tcPr>
                <w:p w14:paraId="2D40DD3D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套，不少于2米</w:t>
                  </w:r>
                </w:p>
              </w:tc>
            </w:tr>
            <w:tr w14:paraId="4FCC68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8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377AE09B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6A96AB74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3435243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BNC馈通法兰</w:t>
                  </w:r>
                </w:p>
              </w:tc>
              <w:tc>
                <w:tcPr>
                  <w:tcW w:w="1870" w:type="dxa"/>
                  <w:vAlign w:val="center"/>
                </w:tcPr>
                <w:p w14:paraId="7226525B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CF35，</w:t>
                  </w: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40BC44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7" w:hRule="atLeast"/>
              </w:trPr>
              <w:tc>
                <w:tcPr>
                  <w:tcW w:w="486" w:type="dxa"/>
                  <w:vMerge w:val="restart"/>
                  <w:vAlign w:val="center"/>
                </w:tcPr>
                <w:p w14:paraId="40FEF8C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020F6BA0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光阑系统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5A782F27">
                  <w:pPr>
                    <w:tabs>
                      <w:tab w:val="center" w:pos="1749"/>
                    </w:tabs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水平光阑刀片</w:t>
                  </w:r>
                </w:p>
              </w:tc>
              <w:tc>
                <w:tcPr>
                  <w:tcW w:w="1870" w:type="dxa"/>
                  <w:vAlign w:val="center"/>
                </w:tcPr>
                <w:p w14:paraId="247FAAFE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套</w:t>
                  </w:r>
                </w:p>
              </w:tc>
            </w:tr>
            <w:tr w14:paraId="1F14C7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8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4DF0222D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30496FC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03A24C8D">
                  <w:pPr>
                    <w:tabs>
                      <w:tab w:val="center" w:pos="1749"/>
                    </w:tabs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竖直光阑刀片</w:t>
                  </w:r>
                </w:p>
              </w:tc>
              <w:tc>
                <w:tcPr>
                  <w:tcW w:w="1870" w:type="dxa"/>
                  <w:vAlign w:val="center"/>
                </w:tcPr>
                <w:p w14:paraId="766A7B01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套</w:t>
                  </w:r>
                </w:p>
              </w:tc>
            </w:tr>
            <w:tr w14:paraId="0129F9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584EE648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32A8DB5C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2EFCE5F0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手动高精度移动机构</w:t>
                  </w:r>
                </w:p>
              </w:tc>
              <w:tc>
                <w:tcPr>
                  <w:tcW w:w="1870" w:type="dxa"/>
                  <w:vAlign w:val="center"/>
                </w:tcPr>
                <w:p w14:paraId="6B560738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34DAD9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0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450B3486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5DF3095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FDEC3B4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电动位移调节机构</w:t>
                  </w:r>
                </w:p>
              </w:tc>
              <w:tc>
                <w:tcPr>
                  <w:tcW w:w="1870" w:type="dxa"/>
                  <w:vAlign w:val="center"/>
                </w:tcPr>
                <w:p w14:paraId="1CC0B53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67C741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2C421E7A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7E6772ED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4EB690E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BNC线缆</w:t>
                  </w:r>
                </w:p>
              </w:tc>
              <w:tc>
                <w:tcPr>
                  <w:tcW w:w="1870" w:type="dxa"/>
                  <w:vAlign w:val="center"/>
                </w:tcPr>
                <w:p w14:paraId="39CD3F3B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套，不少于2米</w:t>
                  </w:r>
                </w:p>
              </w:tc>
            </w:tr>
            <w:tr w14:paraId="5160C9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1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511F5A06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065CE12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65580E2B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BNC馈通法兰</w:t>
                  </w:r>
                </w:p>
              </w:tc>
              <w:tc>
                <w:tcPr>
                  <w:tcW w:w="1870" w:type="dxa"/>
                  <w:vAlign w:val="center"/>
                </w:tcPr>
                <w:p w14:paraId="25266068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CF35，2个</w:t>
                  </w:r>
                </w:p>
              </w:tc>
            </w:tr>
            <w:tr w14:paraId="59830A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2" w:hRule="atLeast"/>
              </w:trPr>
              <w:tc>
                <w:tcPr>
                  <w:tcW w:w="486" w:type="dxa"/>
                  <w:vMerge w:val="restart"/>
                  <w:vAlign w:val="center"/>
                </w:tcPr>
                <w:p w14:paraId="64F647CD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33" w:type="dxa"/>
                  <w:vMerge w:val="restart"/>
                  <w:vAlign w:val="center"/>
                </w:tcPr>
                <w:p w14:paraId="7AB04712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支撑底座</w:t>
                  </w:r>
                </w:p>
              </w:tc>
              <w:tc>
                <w:tcPr>
                  <w:tcW w:w="1870" w:type="dxa"/>
                  <w:vAlign w:val="center"/>
                </w:tcPr>
                <w:p w14:paraId="49233686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铸铁底座</w:t>
                  </w:r>
                </w:p>
              </w:tc>
              <w:tc>
                <w:tcPr>
                  <w:tcW w:w="1870" w:type="dxa"/>
                  <w:vAlign w:val="center"/>
                </w:tcPr>
                <w:p w14:paraId="672D59E0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67B220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</w:trPr>
              <w:tc>
                <w:tcPr>
                  <w:tcW w:w="486" w:type="dxa"/>
                  <w:vMerge w:val="continue"/>
                  <w:vAlign w:val="center"/>
                </w:tcPr>
                <w:p w14:paraId="4C7748A9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33" w:type="dxa"/>
                  <w:vMerge w:val="continue"/>
                  <w:vAlign w:val="center"/>
                </w:tcPr>
                <w:p w14:paraId="08ED2492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  <w:vAlign w:val="center"/>
                </w:tcPr>
                <w:p w14:paraId="47EAC837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三横三纵调节系统</w:t>
                  </w:r>
                </w:p>
              </w:tc>
              <w:tc>
                <w:tcPr>
                  <w:tcW w:w="1870" w:type="dxa"/>
                  <w:vAlign w:val="center"/>
                </w:tcPr>
                <w:p w14:paraId="3DBECB35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个</w:t>
                  </w:r>
                </w:p>
              </w:tc>
            </w:tr>
            <w:tr w14:paraId="56A519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4" w:hRule="atLeast"/>
              </w:trPr>
              <w:tc>
                <w:tcPr>
                  <w:tcW w:w="486" w:type="dxa"/>
                  <w:vAlign w:val="center"/>
                </w:tcPr>
                <w:p w14:paraId="457E129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33" w:type="dxa"/>
                  <w:vAlign w:val="center"/>
                </w:tcPr>
                <w:p w14:paraId="09544BDC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甲供设备</w:t>
                  </w:r>
                </w:p>
              </w:tc>
              <w:tc>
                <w:tcPr>
                  <w:tcW w:w="1870" w:type="dxa"/>
                  <w:vAlign w:val="center"/>
                </w:tcPr>
                <w:p w14:paraId="6B3F2F59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阀门、电流计</w:t>
                  </w:r>
                </w:p>
              </w:tc>
              <w:tc>
                <w:tcPr>
                  <w:tcW w:w="1870" w:type="dxa"/>
                  <w:vAlign w:val="center"/>
                </w:tcPr>
                <w:p w14:paraId="0E38A95A">
                  <w:pPr>
                    <w:spacing w:line="240" w:lineRule="auto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按需</w:t>
                  </w:r>
                </w:p>
              </w:tc>
            </w:tr>
          </w:tbl>
          <w:p w14:paraId="35778293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hint="default" w:ascii="Arial" w:hAnsi="Arial" w:eastAsia="宋体" w:cs="Arial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szCs w:val="21"/>
                <w:shd w:val="clear" w:color="auto" w:fill="FFFFFF"/>
                <w:lang w:val="en-US" w:eastAsia="zh-CN"/>
              </w:rPr>
              <w:t>详见询价单。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交货期：</w:t>
            </w:r>
            <w:r>
              <w:rPr>
                <w:sz w:val="22"/>
                <w:szCs w:val="22"/>
              </w:rPr>
              <w:t>合同签订之日起7个月内完成交货、安装、调试并满足验收要求。</w:t>
            </w:r>
          </w:p>
          <w:p w14:paraId="4F766029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交付进度：</w:t>
            </w:r>
            <w:r>
              <w:rPr>
                <w:bCs/>
                <w:sz w:val="22"/>
                <w:szCs w:val="22"/>
              </w:rPr>
              <w:t>一次性交付</w:t>
            </w:r>
          </w:p>
          <w:p w14:paraId="4861F634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阶段性检查要求：</w:t>
            </w:r>
            <w:r>
              <w:rPr>
                <w:bCs/>
                <w:sz w:val="22"/>
                <w:szCs w:val="22"/>
              </w:rPr>
              <w:t>合同签订1个月内线下确认设计方案（包含且不限于</w:t>
            </w:r>
            <w:bookmarkStart w:id="1" w:name="OLE_LINK1"/>
            <w:r>
              <w:rPr>
                <w:bCs/>
                <w:sz w:val="22"/>
                <w:szCs w:val="22"/>
              </w:rPr>
              <w:t>三维模型、二维图纸等必要文件</w:t>
            </w:r>
            <w:bookmarkEnd w:id="1"/>
            <w:r>
              <w:rPr>
                <w:bCs/>
                <w:sz w:val="22"/>
                <w:szCs w:val="22"/>
              </w:rPr>
              <w:t>）后付预付款，设计经甲方确认后方可投产；乙方在研制过程中按甲方签字确认的设计方案内容实施，如存在重大技术状态更改时，应形成更改记录，并经甲方签字确认后执行；签订7个月内进行出厂测试并提供所有文本材料，若存在外购材料，务必另附外购清单。</w:t>
            </w:r>
          </w:p>
          <w:p w14:paraId="161F788E">
            <w:pPr>
              <w:tabs>
                <w:tab w:val="left" w:pos="691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付款方式：</w:t>
            </w:r>
            <w:r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  <w:t>合同签订后</w:t>
            </w:r>
            <w:r>
              <w:rPr>
                <w:bCs/>
                <w:sz w:val="22"/>
                <w:szCs w:val="22"/>
              </w:rPr>
              <w:t>线下确认设计方案后预付40%</w:t>
            </w:r>
            <w:r>
              <w:rPr>
                <w:rFonts w:hint="eastAsia"/>
                <w:bCs/>
                <w:sz w:val="22"/>
                <w:szCs w:val="22"/>
              </w:rPr>
              <w:t>合同款；</w:t>
            </w:r>
            <w:r>
              <w:rPr>
                <w:bCs/>
                <w:sz w:val="22"/>
                <w:szCs w:val="22"/>
              </w:rPr>
              <w:t>出厂测试合格到货，付50%合同款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  <w:r>
              <w:rPr>
                <w:bCs/>
                <w:sz w:val="22"/>
                <w:szCs w:val="22"/>
              </w:rPr>
              <w:t>现场调试合格后，付10%尾款。</w:t>
            </w:r>
          </w:p>
          <w:p w14:paraId="46CE2D62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验收指标及验收要求：</w:t>
            </w:r>
            <w:r>
              <w:rPr>
                <w:sz w:val="22"/>
                <w:szCs w:val="22"/>
              </w:rPr>
              <w:t>乙方需提供测量工具的型号、编号以及具有资质的第三方出具的检定报告，经甲方核验签字确认后对各项指标进行出厂测试，满足询价文件中给出的指标要求。</w:t>
            </w:r>
            <w:r>
              <w:rPr>
                <w:rFonts w:hint="eastAsia"/>
                <w:sz w:val="22"/>
                <w:szCs w:val="22"/>
              </w:rPr>
              <w:t>交付后，在现场进行真空度和真空漏率指标验收。</w:t>
            </w:r>
          </w:p>
          <w:p w14:paraId="00378417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档案要求：</w:t>
            </w:r>
            <w:r>
              <w:rPr>
                <w:bCs/>
                <w:sz w:val="22"/>
                <w:szCs w:val="22"/>
              </w:rPr>
              <w:t>厂家应按照合肥先进光源工程办要求提供三维模型、二维图纸等必要文件留档。</w:t>
            </w:r>
          </w:p>
          <w:p w14:paraId="0F0F9D5A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保修及售后服务：</w:t>
            </w:r>
            <w:r>
              <w:rPr>
                <w:bCs/>
                <w:sz w:val="22"/>
                <w:szCs w:val="22"/>
              </w:rPr>
              <w:t>厂家对其所提供设备的免费保修期为1年。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2A95A22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434</Words>
  <Characters>486</Characters>
  <Lines>4</Lines>
  <Paragraphs>1</Paragraphs>
  <TotalTime>1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2026-07-28T02:21:49Z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