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346"/>
        <w:gridCol w:w="5320"/>
        <w:gridCol w:w="1418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序号</w:t>
            </w:r>
          </w:p>
        </w:tc>
        <w:tc>
          <w:tcPr>
            <w:tcW w:w="1346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名称</w:t>
            </w:r>
          </w:p>
        </w:tc>
        <w:tc>
          <w:tcPr>
            <w:tcW w:w="5320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(</w:t>
            </w:r>
            <w:r>
              <w:rPr>
                <w:sz w:val="21"/>
                <w:szCs w:val="21"/>
              </w:rPr>
              <w:t>无偏离</w:t>
            </w:r>
            <w:r>
              <w:rPr>
                <w:rFonts w:hint="eastAsia"/>
                <w:sz w:val="21"/>
                <w:szCs w:val="21"/>
              </w:rPr>
              <w:t>/</w:t>
            </w:r>
            <w:r>
              <w:rPr>
                <w:sz w:val="21"/>
                <w:szCs w:val="21"/>
              </w:rPr>
              <w:t>正偏离</w:t>
            </w:r>
            <w:r>
              <w:rPr>
                <w:rFonts w:hint="eastAsia"/>
                <w:sz w:val="21"/>
                <w:szCs w:val="21"/>
              </w:rPr>
              <w:t>/</w:t>
            </w:r>
            <w:r>
              <w:rPr>
                <w:sz w:val="21"/>
                <w:szCs w:val="21"/>
              </w:rPr>
              <w:t>负偏离</w:t>
            </w:r>
            <w:r>
              <w:rPr>
                <w:rFonts w:hint="eastAsia"/>
                <w:sz w:val="21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2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5BEB43">
            <w:pPr>
              <w:widowControl/>
              <w:spacing w:line="240" w:lineRule="atLeast"/>
              <w:jc w:val="center"/>
              <w:rPr>
                <w:rFonts w:hint="default" w:ascii="Times New Roman" w:hAnsi="Times New Roman" w:eastAsia="宋体" w:cs="Times New Roman"/>
                <w:sz w:val="24"/>
                <w:szCs w:val="24"/>
                <w:lang w:val="en-US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sz w:val="21"/>
                <w:szCs w:val="21"/>
                <w:lang w:val="en-US" w:eastAsia="zh-CN"/>
              </w:rPr>
              <w:t>线站机械加工件</w:t>
            </w:r>
          </w:p>
        </w:tc>
        <w:tc>
          <w:tcPr>
            <w:tcW w:w="5320" w:type="dxa"/>
            <w:vAlign w:val="center"/>
          </w:tcPr>
          <w:p w14:paraId="091FCABF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b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厂商资质：</w:t>
            </w:r>
          </w:p>
          <w:p w14:paraId="2181968A">
            <w:pPr>
              <w:tabs>
                <w:tab w:val="left" w:pos="6915"/>
              </w:tabs>
              <w:jc w:val="left"/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1、投标厂商应有气体电离室或大型样品生长测试腔体供货业绩；</w:t>
            </w:r>
          </w:p>
          <w:p w14:paraId="60D56D87">
            <w:pPr>
              <w:tabs>
                <w:tab w:val="left" w:pos="6915"/>
              </w:tabs>
              <w:jc w:val="left"/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、能提供光束线关键部件安装调试服务，公司能提供必须的高精度经纬仪，水平仪等设备；</w:t>
            </w:r>
          </w:p>
          <w:p w14:paraId="4FF22473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sz w:val="21"/>
                <w:szCs w:val="21"/>
              </w:rPr>
              <w:t>规格和技术参数：</w:t>
            </w:r>
          </w:p>
          <w:tbl>
            <w:tblPr>
              <w:tblStyle w:val="3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013"/>
              <w:gridCol w:w="550"/>
              <w:gridCol w:w="3531"/>
            </w:tblGrid>
            <w:tr w14:paraId="786EB2B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2" w:hRule="atLeast"/>
              </w:trPr>
              <w:tc>
                <w:tcPr>
                  <w:tcW w:w="1013" w:type="dxa"/>
                </w:tcPr>
                <w:p w14:paraId="3E0658D7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名称</w:t>
                  </w:r>
                </w:p>
              </w:tc>
              <w:tc>
                <w:tcPr>
                  <w:tcW w:w="550" w:type="dxa"/>
                  <w:vAlign w:val="top"/>
                </w:tcPr>
                <w:p w14:paraId="49A33984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数量</w:t>
                  </w:r>
                </w:p>
              </w:tc>
              <w:tc>
                <w:tcPr>
                  <w:tcW w:w="3531" w:type="dxa"/>
                </w:tcPr>
                <w:p w14:paraId="15951595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主要参数</w:t>
                  </w:r>
                </w:p>
              </w:tc>
            </w:tr>
            <w:tr w14:paraId="2667EC9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3" w:type="dxa"/>
                </w:tcPr>
                <w:p w14:paraId="4D4740C6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1、电离室及部分必须配件</w:t>
                  </w:r>
                </w:p>
              </w:tc>
              <w:tc>
                <w:tcPr>
                  <w:tcW w:w="550" w:type="dxa"/>
                  <w:tcBorders>
                    <w:bottom w:val="single" w:color="auto" w:sz="4" w:space="0"/>
                  </w:tcBorders>
                  <w:vAlign w:val="top"/>
                </w:tcPr>
                <w:p w14:paraId="1201EEC6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531" w:type="dxa"/>
                  <w:tcBorders>
                    <w:bottom w:val="single" w:color="auto" w:sz="4" w:space="0"/>
                  </w:tcBorders>
                </w:tcPr>
                <w:p w14:paraId="379B6016">
                  <w:pPr>
                    <w:pStyle w:val="5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ind w:leftChars="0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  <w:t xml:space="preserve">1. 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电离室真空腔体，304不锈钢材质；包含气体电离室基本功能，CF63法兰接口，一头松套设计，总长不超过220mm；</w:t>
                  </w:r>
                </w:p>
                <w:p w14:paraId="22FEE3CA">
                  <w:pPr>
                    <w:pStyle w:val="5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ind w:leftChars="0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  <w:t xml:space="preserve">2. 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直线导入器（接驳PD安装板及信号馈通）一个；</w:t>
                  </w:r>
                </w:p>
                <w:p w14:paraId="563DD785">
                  <w:pPr>
                    <w:pStyle w:val="5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ind w:leftChars="0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  <w:t xml:space="preserve">3. 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电离极板一套，内径与电离室腔体适配，且绝缘固定，电极馈通1个；</w:t>
                  </w:r>
                </w:p>
                <w:p w14:paraId="464349A3">
                  <w:pPr>
                    <w:pStyle w:val="5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ind w:leftChars="0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 w:themeColor="text1"/>
                      <w:kern w:val="0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00" w:themeColor="text1"/>
                      <w:kern w:val="0"/>
                      <w:sz w:val="21"/>
                      <w:szCs w:val="21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 xml:space="preserve">4. </w:t>
                  </w:r>
                  <w:r>
                    <w:rPr>
                      <w:rFonts w:hint="default" w:ascii="Times New Roman" w:hAnsi="Times New Roman" w:eastAsia="宋体" w:cs="Times New Roman"/>
                      <w:color w:val="000000" w:themeColor="text1"/>
                      <w:kern w:val="0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带窗CF63超高真空闸板阀一个，窗片用300-500nm厚Si膜替代，可有效隔离100Pa压力；</w:t>
                  </w:r>
                </w:p>
                <w:p w14:paraId="4B0AAA6C">
                  <w:pPr>
                    <w:pStyle w:val="5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ind w:leftChars="0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 w:themeColor="text1"/>
                      <w:kern w:val="0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00" w:themeColor="text1"/>
                      <w:kern w:val="0"/>
                      <w:sz w:val="21"/>
                      <w:szCs w:val="21"/>
                      <w:lang w:val="en-US" w:eastAsia="zh-CN"/>
                      <w14:textFill>
                        <w14:solidFill>
                          <w14:schemeClr w14:val="tx1"/>
                        </w14:solidFill>
                      </w14:textFill>
                    </w:rPr>
                    <w:t xml:space="preserve">5. </w:t>
                  </w:r>
                  <w:r>
                    <w:rPr>
                      <w:rFonts w:hint="default" w:ascii="Times New Roman" w:hAnsi="Times New Roman" w:eastAsia="宋体" w:cs="Times New Roman"/>
                      <w:color w:val="000000" w:themeColor="text1"/>
                      <w:kern w:val="0"/>
                      <w:sz w:val="21"/>
                      <w:szCs w:val="21"/>
                      <w14:textFill>
                        <w14:solidFill>
                          <w14:schemeClr w14:val="tx1"/>
                        </w14:solidFill>
                      </w14:textFill>
                    </w:rPr>
                    <w:t>CF35全金属微漏阀一个；</w:t>
                  </w:r>
                </w:p>
                <w:p w14:paraId="74AF53F8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ind w:leftChars="0" w:firstLine="420" w:firstLineChars="200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要求整套设备超高真空适用，极限真空</w:t>
                  </w:r>
                  <w:r>
                    <w:rPr>
                      <w:rFonts w:hint="eastAsia" w:ascii="等线" w:hAnsi="等线" w:eastAsia="等线" w:cs="等线"/>
                      <w:color w:val="000000"/>
                      <w:kern w:val="0"/>
                      <w:sz w:val="21"/>
                      <w:szCs w:val="21"/>
                    </w:rPr>
                    <w:t>≤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10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</w:rPr>
                    <w:t xml:space="preserve">-8 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Pa；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漏率</w:t>
                  </w:r>
                  <w:r>
                    <w:rPr>
                      <w:rFonts w:hint="default" w:ascii="等线" w:hAnsi="等线" w:eastAsia="等线" w:cs="等线"/>
                      <w:color w:val="000000"/>
                      <w:kern w:val="0"/>
                      <w:sz w:val="21"/>
                      <w:szCs w:val="21"/>
                    </w:rPr>
                    <w:t>≤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10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</w:rPr>
                    <w:t xml:space="preserve">-12 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Pa·m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</w:rPr>
                    <w:t>3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/s；</w:t>
                  </w:r>
                </w:p>
              </w:tc>
            </w:tr>
            <w:tr w14:paraId="484697A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3" w:type="dxa"/>
                </w:tcPr>
                <w:p w14:paraId="78EE05DE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2、离子泵站腔体</w:t>
                  </w:r>
                </w:p>
              </w:tc>
              <w:tc>
                <w:tcPr>
                  <w:tcW w:w="550" w:type="dxa"/>
                  <w:tcBorders>
                    <w:bottom w:val="single" w:color="auto" w:sz="4" w:space="0"/>
                  </w:tcBorders>
                  <w:vAlign w:val="top"/>
                </w:tcPr>
                <w:p w14:paraId="7655B662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531" w:type="dxa"/>
                  <w:tcBorders>
                    <w:bottom w:val="single" w:color="auto" w:sz="4" w:space="0"/>
                  </w:tcBorders>
                </w:tcPr>
                <w:p w14:paraId="264EF30C">
                  <w:pPr>
                    <w:pStyle w:val="5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ind w:leftChars="0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  <w:t xml:space="preserve">1. 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腔体为304不锈钢材质；直通腔体，含双头CF150法兰，下法兰松套设计； 含双向CF63连接口，与直通腔成12°布局，松套法兰设计，在可安装前提下尽量短，CF63单边长度不超过110mm；</w:t>
                  </w:r>
                </w:p>
                <w:p w14:paraId="02593BFF">
                  <w:pPr>
                    <w:pStyle w:val="5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ind w:leftChars="0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sz w:val="21"/>
                      <w:szCs w:val="21"/>
                      <w:lang w:val="en-US" w:eastAsia="zh-CN"/>
                    </w:rPr>
                    <w:t xml:space="preserve">2. 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铸铁支撑件一件，用于安装现有KYKY/三井300L离子泵；</w:t>
                  </w:r>
                </w:p>
                <w:p w14:paraId="3A88708F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ind w:firstLine="420" w:firstLineChars="200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超高真空适用，极限真空</w:t>
                  </w:r>
                  <w:r>
                    <w:rPr>
                      <w:rFonts w:hint="default" w:ascii="等线" w:hAnsi="等线" w:eastAsia="等线" w:cs="等线"/>
                      <w:color w:val="000000"/>
                      <w:kern w:val="0"/>
                      <w:sz w:val="21"/>
                      <w:szCs w:val="21"/>
                    </w:rPr>
                    <w:t>≤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10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</w:rPr>
                    <w:t xml:space="preserve">-8 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Pa；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漏率</w:t>
                  </w:r>
                  <w:r>
                    <w:rPr>
                      <w:rFonts w:hint="default" w:ascii="等线" w:hAnsi="等线" w:eastAsia="等线" w:cs="等线"/>
                      <w:color w:val="000000"/>
                      <w:kern w:val="0"/>
                      <w:sz w:val="21"/>
                      <w:szCs w:val="21"/>
                    </w:rPr>
                    <w:t>≤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10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</w:rPr>
                    <w:t xml:space="preserve">-12 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Pa·m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</w:rPr>
                    <w:t>3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/s；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 xml:space="preserve"> </w:t>
                  </w:r>
                </w:p>
              </w:tc>
            </w:tr>
            <w:tr w14:paraId="77C71BB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3" w:type="dxa"/>
                </w:tcPr>
                <w:p w14:paraId="56AA3948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3、测试真空腔</w:t>
                  </w:r>
                </w:p>
              </w:tc>
              <w:tc>
                <w:tcPr>
                  <w:tcW w:w="550" w:type="dxa"/>
                  <w:tcBorders>
                    <w:bottom w:val="single" w:color="auto" w:sz="4" w:space="0"/>
                  </w:tcBorders>
                  <w:vAlign w:val="top"/>
                </w:tcPr>
                <w:p w14:paraId="2D2FFF80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531" w:type="dxa"/>
                  <w:tcBorders>
                    <w:bottom w:val="single" w:color="auto" w:sz="4" w:space="0"/>
                  </w:tcBorders>
                </w:tcPr>
                <w:p w14:paraId="6D6FFC3B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1"/>
                    </w:numPr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  <w:t>腔体为304不锈钢材质；直径</w:t>
                  </w:r>
                  <w:r>
                    <w:rPr>
                      <w:rFonts w:hint="default" w:ascii="等线" w:hAnsi="等线" w:eastAsia="等线" w:cs="等线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  <w:t>≥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  <w:t>250mm筒状腔体，腔体底部分布斜入CF35口大于等于6个，之上对应垂直CF35挡板件法兰接入口6个；再之上侧面含CF100口2个及CF35口；</w:t>
                  </w:r>
                </w:p>
                <w:p w14:paraId="68736F0A">
                  <w:pPr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1"/>
                    </w:numPr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ind w:left="0" w:leftChars="0" w:firstLine="0" w:firstLineChars="0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  <w:t xml:space="preserve">顶部含CF250转CF100转接段（包含至少2个CF35观察法兰口）； </w:t>
                  </w:r>
                </w:p>
                <w:p w14:paraId="0C7BB465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  <w:t>3. 底部CF250转CF150转接段。CF250法兰含支撑块四个，用于固定支撑整个腔体；</w:t>
                  </w:r>
                </w:p>
                <w:p w14:paraId="42B12A9C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ind w:firstLine="420" w:firstLineChars="200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超高真空适用，极限真空</w:t>
                  </w:r>
                  <w:r>
                    <w:rPr>
                      <w:rFonts w:hint="default" w:ascii="等线" w:hAnsi="等线" w:eastAsia="等线" w:cs="等线"/>
                      <w:color w:val="000000"/>
                      <w:kern w:val="0"/>
                      <w:sz w:val="21"/>
                      <w:szCs w:val="21"/>
                    </w:rPr>
                    <w:t>≤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10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</w:rPr>
                    <w:t xml:space="preserve">-8 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Pa；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漏率</w:t>
                  </w:r>
                  <w:r>
                    <w:rPr>
                      <w:rFonts w:hint="default" w:ascii="等线" w:hAnsi="等线" w:eastAsia="等线" w:cs="等线"/>
                      <w:color w:val="000000"/>
                      <w:kern w:val="0"/>
                      <w:sz w:val="21"/>
                      <w:szCs w:val="21"/>
                    </w:rPr>
                    <w:t>≤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10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</w:rPr>
                    <w:t xml:space="preserve">-12 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Pa·m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</w:rPr>
                    <w:t>3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/s；（图纸参考之后说明）</w:t>
                  </w:r>
                </w:p>
              </w:tc>
            </w:tr>
            <w:tr w14:paraId="0E5CB8D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3" w:type="dxa"/>
                </w:tcPr>
                <w:p w14:paraId="591F62A7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4、光电探测CF63六通腔</w:t>
                  </w:r>
                </w:p>
              </w:tc>
              <w:tc>
                <w:tcPr>
                  <w:tcW w:w="550" w:type="dxa"/>
                  <w:tcBorders>
                    <w:top w:val="single" w:color="auto" w:sz="4" w:space="0"/>
                  </w:tcBorders>
                  <w:vAlign w:val="top"/>
                </w:tcPr>
                <w:p w14:paraId="2F9C9ADC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531" w:type="dxa"/>
                  <w:tcBorders>
                    <w:top w:val="single" w:color="auto" w:sz="4" w:space="0"/>
                  </w:tcBorders>
                </w:tcPr>
                <w:p w14:paraId="6F3515D2">
                  <w:pPr>
                    <w:pStyle w:val="5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  <w:t>1.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腔体为304不锈钢材质；CF63法兰六通，一头松套法兰设计，总长不超过90mm；四个CF35法兰口；</w:t>
                  </w:r>
                </w:p>
                <w:p w14:paraId="61BE307C">
                  <w:pPr>
                    <w:pStyle w:val="5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ind w:leftChars="0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  <w:t xml:space="preserve">2. 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CF35手动直线导入器，行程</w:t>
                  </w:r>
                  <w:r>
                    <w:rPr>
                      <w:rFonts w:hint="default" w:ascii="等线" w:hAnsi="等线" w:eastAsia="等线" w:cs="等线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  <w:t>≥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80mm，接驳固定光档片（23mm*5mm方孔，边缘宽度超过5mm，含PD安装位置）；</w:t>
                  </w:r>
                </w:p>
                <w:p w14:paraId="56992736">
                  <w:pPr>
                    <w:pStyle w:val="5"/>
                    <w:keepNext w:val="0"/>
                    <w:keepLines w:val="0"/>
                    <w:pageBreakBefore w:val="0"/>
                    <w:widowControl w:val="0"/>
                    <w:numPr>
                      <w:ilvl w:val="0"/>
                      <w:numId w:val="0"/>
                    </w:numPr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ind w:leftChars="0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eastAsia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  <w:lang w:val="en-US" w:eastAsia="zh-CN"/>
                    </w:rPr>
                    <w:t xml:space="preserve">3. 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CF35电极馈通（接PD信号线）；</w:t>
                  </w:r>
                </w:p>
                <w:p w14:paraId="3F57FF78">
                  <w:pPr>
                    <w:pStyle w:val="5"/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ind w:left="0" w:leftChars="0" w:firstLine="420" w:firstLineChars="200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超高真空适用，极限真空</w:t>
                  </w:r>
                  <w:r>
                    <w:rPr>
                      <w:rFonts w:hint="default" w:ascii="等线" w:hAnsi="等线" w:eastAsia="等线" w:cs="等线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  <w:t>≤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10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</w:rPr>
                    <w:t xml:space="preserve">-8 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Pa；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漏率</w:t>
                  </w:r>
                  <w:r>
                    <w:rPr>
                      <w:rFonts w:hint="default" w:ascii="等线" w:hAnsi="等线" w:eastAsia="等线" w:cs="等线"/>
                      <w:color w:val="000000"/>
                      <w:kern w:val="0"/>
                      <w:sz w:val="21"/>
                      <w:szCs w:val="21"/>
                      <w:lang w:val="en-US" w:eastAsia="zh-CN" w:bidi="ar-SA"/>
                    </w:rPr>
                    <w:t>≤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10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</w:rPr>
                    <w:t xml:space="preserve">-12 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Pa·m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</w:rPr>
                    <w:t>3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/s；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 xml:space="preserve"> </w:t>
                  </w:r>
                </w:p>
              </w:tc>
            </w:tr>
            <w:tr w14:paraId="4EC408E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3" w:type="dxa"/>
                </w:tcPr>
                <w:p w14:paraId="64305C2B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CF63焊接波纹管</w:t>
                  </w:r>
                </w:p>
              </w:tc>
              <w:tc>
                <w:tcPr>
                  <w:tcW w:w="550" w:type="dxa"/>
                  <w:vAlign w:val="top"/>
                </w:tcPr>
                <w:p w14:paraId="06E35F98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5</w:t>
                  </w:r>
                </w:p>
              </w:tc>
              <w:tc>
                <w:tcPr>
                  <w:tcW w:w="3531" w:type="dxa"/>
                </w:tcPr>
                <w:p w14:paraId="48566716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304不锈钢材质；长度据光束线BPM前后位置确定，自然长度100~150mm；含可装卸固定支杆；超高真空适用；极限真空</w:t>
                  </w:r>
                  <w:r>
                    <w:rPr>
                      <w:rFonts w:hint="default" w:ascii="等线" w:hAnsi="等线" w:eastAsia="等线" w:cs="等线"/>
                      <w:color w:val="000000"/>
                      <w:kern w:val="0"/>
                      <w:sz w:val="21"/>
                      <w:szCs w:val="21"/>
                    </w:rPr>
                    <w:t>≤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10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</w:rPr>
                    <w:t xml:space="preserve">-8 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Pa；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漏率</w:t>
                  </w:r>
                  <w:r>
                    <w:rPr>
                      <w:rFonts w:hint="default" w:ascii="等线" w:hAnsi="等线" w:eastAsia="等线" w:cs="等线"/>
                      <w:color w:val="000000"/>
                      <w:kern w:val="0"/>
                      <w:sz w:val="21"/>
                      <w:szCs w:val="21"/>
                    </w:rPr>
                    <w:t>≤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10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</w:rPr>
                    <w:t xml:space="preserve">-12 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Pa·m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</w:rPr>
                    <w:t>3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/s</w:t>
                  </w:r>
                </w:p>
              </w:tc>
            </w:tr>
            <w:tr w14:paraId="47E57BB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3" w:type="dxa"/>
                </w:tcPr>
                <w:p w14:paraId="444730F8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CF35焊接波纹管</w:t>
                  </w:r>
                </w:p>
              </w:tc>
              <w:tc>
                <w:tcPr>
                  <w:tcW w:w="550" w:type="dxa"/>
                  <w:vAlign w:val="top"/>
                </w:tcPr>
                <w:p w14:paraId="52E27B13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531" w:type="dxa"/>
                </w:tcPr>
                <w:p w14:paraId="0D610112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304不锈钢材质；自然长度 100mm（按CF63六通尺寸确定）；含可装卸固定支杆；超高真空适用，极限真空</w:t>
                  </w:r>
                  <w:r>
                    <w:rPr>
                      <w:rFonts w:hint="default" w:ascii="等线" w:hAnsi="等线" w:eastAsia="等线" w:cs="等线"/>
                      <w:color w:val="000000"/>
                      <w:kern w:val="0"/>
                      <w:sz w:val="21"/>
                      <w:szCs w:val="21"/>
                    </w:rPr>
                    <w:t>≤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10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</w:rPr>
                    <w:t xml:space="preserve">-8 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Pa；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漏率</w:t>
                  </w:r>
                  <w:r>
                    <w:rPr>
                      <w:rFonts w:hint="default" w:ascii="等线" w:hAnsi="等线" w:eastAsia="等线" w:cs="等线"/>
                      <w:color w:val="000000"/>
                      <w:kern w:val="0"/>
                      <w:sz w:val="21"/>
                      <w:szCs w:val="21"/>
                    </w:rPr>
                    <w:t>≤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10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</w:rPr>
                    <w:t xml:space="preserve">-12 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Pa·m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</w:rPr>
                    <w:t>3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/s</w:t>
                  </w:r>
                </w:p>
              </w:tc>
            </w:tr>
            <w:tr w14:paraId="38E3D86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3" w:type="dxa"/>
                </w:tcPr>
                <w:p w14:paraId="04A470B9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CF150焊接波纹管</w:t>
                  </w:r>
                </w:p>
              </w:tc>
              <w:tc>
                <w:tcPr>
                  <w:tcW w:w="550" w:type="dxa"/>
                  <w:vAlign w:val="top"/>
                </w:tcPr>
                <w:p w14:paraId="1E9BBA0B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531" w:type="dxa"/>
                </w:tcPr>
                <w:p w14:paraId="3D431133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304不锈钢材质；自然长度150mm；含可装卸固定支杆；超高真空适用，极限真空</w:t>
                  </w:r>
                  <w:r>
                    <w:rPr>
                      <w:rFonts w:hint="default" w:ascii="等线" w:hAnsi="等线" w:eastAsia="等线" w:cs="等线"/>
                      <w:color w:val="000000"/>
                      <w:kern w:val="0"/>
                      <w:sz w:val="21"/>
                      <w:szCs w:val="21"/>
                    </w:rPr>
                    <w:t>≤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10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</w:rPr>
                    <w:t xml:space="preserve">-8 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Pa；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漏率</w:t>
                  </w:r>
                  <w:r>
                    <w:rPr>
                      <w:rFonts w:hint="default" w:ascii="等线" w:hAnsi="等线" w:eastAsia="等线" w:cs="等线"/>
                      <w:color w:val="000000"/>
                      <w:kern w:val="0"/>
                      <w:sz w:val="21"/>
                      <w:szCs w:val="21"/>
                    </w:rPr>
                    <w:t>≤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5</w:t>
                  </w: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×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10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</w:rPr>
                    <w:t xml:space="preserve">-12 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Pa·m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  <w:vertAlign w:val="superscript"/>
                    </w:rPr>
                    <w:t>3</w:t>
                  </w:r>
                  <w:r>
                    <w:rPr>
                      <w:rFonts w:hint="default" w:ascii="Times New Roman" w:hAnsi="Times New Roman" w:eastAsia="宋体" w:cs="Times New Roman"/>
                      <w:sz w:val="21"/>
                      <w:szCs w:val="21"/>
                    </w:rPr>
                    <w:t>/s</w:t>
                  </w:r>
                </w:p>
              </w:tc>
            </w:tr>
            <w:tr w14:paraId="5A42597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013" w:type="dxa"/>
                </w:tcPr>
                <w:p w14:paraId="42A44481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安装调试</w:t>
                  </w:r>
                </w:p>
              </w:tc>
              <w:tc>
                <w:tcPr>
                  <w:tcW w:w="550" w:type="dxa"/>
                  <w:vAlign w:val="top"/>
                </w:tcPr>
                <w:p w14:paraId="1005A9C0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center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1</w:t>
                  </w:r>
                </w:p>
              </w:tc>
              <w:tc>
                <w:tcPr>
                  <w:tcW w:w="3531" w:type="dxa"/>
                </w:tcPr>
                <w:p w14:paraId="0D0A0065">
                  <w:pPr>
                    <w:keepNext w:val="0"/>
                    <w:keepLines w:val="0"/>
                    <w:pageBreakBefore w:val="0"/>
                    <w:widowControl w:val="0"/>
                    <w:tabs>
                      <w:tab w:val="left" w:pos="6915"/>
                    </w:tabs>
                    <w:kinsoku/>
                    <w:wordWrap/>
                    <w:overflowPunct w:val="0"/>
                    <w:topLinePunct w:val="0"/>
                    <w:autoSpaceDE/>
                    <w:autoSpaceDN/>
                    <w:bidi w:val="0"/>
                    <w:adjustRightInd w:val="0"/>
                    <w:snapToGrid w:val="0"/>
                    <w:spacing w:line="300" w:lineRule="auto"/>
                    <w:jc w:val="both"/>
                    <w:textAlignment w:val="auto"/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</w:pPr>
                  <w:r>
                    <w:rPr>
                      <w:rFonts w:hint="default" w:ascii="Times New Roman" w:hAnsi="Times New Roman" w:eastAsia="宋体" w:cs="Times New Roman"/>
                      <w:color w:val="000000"/>
                      <w:kern w:val="0"/>
                      <w:sz w:val="21"/>
                      <w:szCs w:val="21"/>
                    </w:rPr>
                    <w:t>提供经纬仪，水准仪等设备按要求将上述设备安装进现有光束线确定位置。</w:t>
                  </w:r>
                </w:p>
              </w:tc>
            </w:tr>
          </w:tbl>
          <w:p w14:paraId="5C5DE0A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真空腔体及其相关结构零部件：均采用304牌号（0Cr18Ni9）优质不锈钢材料制成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。特殊零部件材质按实际需求布置。</w:t>
            </w:r>
          </w:p>
          <w:p w14:paraId="390458A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对真空室体及其相关零、部件，均按照超高真空部品的加工工艺规范为准，完成机加工和清洗及组焊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，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并进行高温除氢处理，内表面粗糙度应当满足：Ra</w:t>
            </w:r>
            <w:r>
              <w:rPr>
                <w:rFonts w:hint="default" w:ascii="等线" w:hAnsi="等线" w:eastAsia="等线" w:cs="等线"/>
                <w:color w:val="000000"/>
                <w:kern w:val="0"/>
                <w:sz w:val="21"/>
                <w:szCs w:val="21"/>
              </w:rPr>
              <w:t>≤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0.8μm。</w:t>
            </w:r>
          </w:p>
          <w:p w14:paraId="390EFE5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对真空室体及其相关零、部件，所有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锐边倒钝，去尖角、毛刺或飞边；所有元件在焊接和装配前需清洁处理，去除油脂、污物、灰尘等，并干燥保存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。</w:t>
            </w:r>
          </w:p>
          <w:p w14:paraId="720F5F7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法兰基本尺寸基于GB/Z 25756-2010，加工完成后要求松套法兰可自由旋转，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焊接时法兰螺栓孔在中心线两侧对称分布，不对称度</w:t>
            </w:r>
            <w:r>
              <w:rPr>
                <w:rFonts w:hint="default" w:ascii="等线" w:hAnsi="等线" w:eastAsia="等线" w:cs="等线"/>
                <w:color w:val="000000"/>
                <w:kern w:val="0"/>
                <w:sz w:val="21"/>
                <w:szCs w:val="21"/>
              </w:rPr>
              <w:t>≤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0.1mm。</w:t>
            </w:r>
          </w:p>
          <w:p w14:paraId="53F97BE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真空部件极限真空</w:t>
            </w:r>
            <w:r>
              <w:rPr>
                <w:rFonts w:hint="default" w:ascii="等线" w:hAnsi="等线" w:eastAsia="等线" w:cs="等线"/>
                <w:color w:val="000000"/>
                <w:kern w:val="0"/>
                <w:sz w:val="21"/>
                <w:szCs w:val="21"/>
              </w:rPr>
              <w:t>≤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5×10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vertAlign w:val="superscript"/>
              </w:rPr>
              <w:t xml:space="preserve">-8 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Pa，漏率</w:t>
            </w:r>
            <w:r>
              <w:rPr>
                <w:rFonts w:hint="default" w:ascii="等线" w:hAnsi="等线" w:eastAsia="等线" w:cs="等线"/>
                <w:color w:val="000000"/>
                <w:kern w:val="0"/>
                <w:sz w:val="21"/>
                <w:szCs w:val="21"/>
              </w:rPr>
              <w:t>≤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×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10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</w:rPr>
              <w:t xml:space="preserve">-12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Pa·m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/s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 xml:space="preserve"> (以氦质谱检漏仪的检测结果为准)</w:t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。</w:t>
            </w:r>
          </w:p>
          <w:p w14:paraId="1E1FB94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 w:val="0"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eastAsia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drawing>
                <wp:anchor distT="0" distB="0" distL="0" distR="0" simplePos="0" relativeHeight="251659264" behindDoc="0" locked="0" layoutInCell="1" allowOverlap="1">
                  <wp:simplePos x="0" y="0"/>
                  <wp:positionH relativeFrom="column">
                    <wp:posOffset>745490</wp:posOffset>
                  </wp:positionH>
                  <wp:positionV relativeFrom="paragraph">
                    <wp:posOffset>920115</wp:posOffset>
                  </wp:positionV>
                  <wp:extent cx="1312545" cy="1728470"/>
                  <wp:effectExtent l="0" t="0" r="1905" b="5080"/>
                  <wp:wrapTopAndBottom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2545" cy="1728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厂家在报价同时出据相关初步设计图纸，以供评比（电离室和光电子探测腔有供货业绩的厂商应有完备的设计图纸）；第3项腔体及部件可参考下面设备图。</w:t>
            </w:r>
          </w:p>
        </w:tc>
        <w:tc>
          <w:tcPr>
            <w:tcW w:w="1418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8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3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1"/>
                <w:szCs w:val="21"/>
              </w:rPr>
              <w:t>商务条款</w:t>
            </w:r>
          </w:p>
        </w:tc>
        <w:tc>
          <w:tcPr>
            <w:tcW w:w="53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CFABF4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</w:rPr>
              <w:t>交货期：</w:t>
            </w: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</w:rPr>
              <w:t>图纸确认后三个月内</w:t>
            </w:r>
          </w:p>
          <w:p w14:paraId="080BCC75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</w:rPr>
              <w:t>交付进度：</w:t>
            </w: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</w:rPr>
              <w:t>一次性交付</w:t>
            </w:r>
          </w:p>
          <w:p w14:paraId="3BBBE4B8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</w:rPr>
              <w:t>付款方式：</w:t>
            </w: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val="en-US" w:eastAsia="zh-CN"/>
              </w:rPr>
              <w:t>合同签订后</w:t>
            </w: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</w:rPr>
              <w:t>预付</w:t>
            </w: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</w:rPr>
              <w:t>0%，</w:t>
            </w: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val="en-US" w:eastAsia="zh-CN"/>
              </w:rPr>
              <w:t>货到</w:t>
            </w: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</w:rPr>
              <w:t>验收合格后付</w:t>
            </w: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  <w:lang w:val="en-US" w:eastAsia="zh-CN"/>
              </w:rPr>
              <w:t>清尾款。</w:t>
            </w:r>
          </w:p>
          <w:p w14:paraId="6E33753A">
            <w:pPr>
              <w:keepNext w:val="0"/>
              <w:keepLines w:val="0"/>
              <w:pageBreakBefore w:val="0"/>
              <w:widowControl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300" w:lineRule="auto"/>
              <w:jc w:val="both"/>
              <w:textAlignment w:val="auto"/>
              <w:rPr>
                <w:rFonts w:hint="default" w:ascii="Times New Roman" w:hAnsi="Times New Roman" w:eastAsia="宋体" w:cs="Times New Roman"/>
                <w:bCs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</w:rPr>
              <w:t>验收指标及验收要求：</w:t>
            </w: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</w:rPr>
              <w:t>提供出厂检测报告，需要包含材料证明、真空检测报告</w:t>
            </w:r>
            <w:bookmarkStart w:id="0" w:name="_GoBack"/>
            <w:bookmarkEnd w:id="0"/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</w:rPr>
              <w:t>。现场验收指标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漏率</w:t>
            </w:r>
            <w:r>
              <w:rPr>
                <w:rFonts w:hint="eastAsia" w:ascii="等线" w:hAnsi="等线" w:eastAsia="等线" w:cs="等线"/>
                <w:color w:val="000000"/>
                <w:kern w:val="0"/>
                <w:sz w:val="21"/>
                <w:szCs w:val="21"/>
              </w:rPr>
              <w:t>≤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5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</w:rPr>
              <w:t>×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10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</w:rPr>
              <w:t xml:space="preserve">-12 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Pa·m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  <w:vertAlign w:val="superscript"/>
              </w:rPr>
              <w:t>3</w:t>
            </w:r>
            <w:r>
              <w:rPr>
                <w:rFonts w:hint="default" w:ascii="Times New Roman" w:hAnsi="Times New Roman" w:eastAsia="宋体" w:cs="Times New Roman"/>
                <w:sz w:val="21"/>
                <w:szCs w:val="21"/>
              </w:rPr>
              <w:t>/s。</w:t>
            </w:r>
          </w:p>
          <w:p w14:paraId="2BA5B77E">
            <w:pPr>
              <w:tabs>
                <w:tab w:val="left" w:pos="6915"/>
              </w:tabs>
              <w:spacing w:line="240" w:lineRule="atLeast"/>
              <w:jc w:val="left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b/>
                <w:sz w:val="21"/>
                <w:szCs w:val="21"/>
              </w:rPr>
              <w:t>保修及售后服务：</w:t>
            </w:r>
            <w:r>
              <w:rPr>
                <w:rFonts w:hint="default" w:ascii="Times New Roman" w:hAnsi="Times New Roman" w:eastAsia="宋体" w:cs="Times New Roman"/>
                <w:bCs/>
                <w:sz w:val="21"/>
                <w:szCs w:val="21"/>
              </w:rPr>
              <w:t>质保期一年</w:t>
            </w:r>
          </w:p>
        </w:tc>
        <w:tc>
          <w:tcPr>
            <w:tcW w:w="1418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64E5D46D">
      <w:pPr>
        <w:ind w:right="840"/>
        <w:rPr>
          <w:sz w:val="24"/>
          <w:szCs w:val="24"/>
        </w:rPr>
      </w:pPr>
    </w:p>
    <w:p w14:paraId="663E47C9">
      <w:pPr>
        <w:ind w:right="840" w:firstLine="5040" w:firstLineChars="2100"/>
        <w:rPr>
          <w:sz w:val="24"/>
          <w:szCs w:val="24"/>
        </w:rPr>
      </w:pPr>
    </w:p>
    <w:p w14:paraId="6B36AD4F">
      <w:pPr>
        <w:ind w:right="840" w:firstLine="5040" w:firstLineChars="2100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79DD8C98">
      <w:pPr>
        <w:ind w:right="840"/>
        <w:jc w:val="center"/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                 日期</w:t>
      </w:r>
      <w:r>
        <w:rPr>
          <w:rFonts w:hint="eastAsia"/>
          <w:sz w:val="24"/>
          <w:szCs w:val="24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126A2F"/>
    <w:multiLevelType w:val="singleLevel"/>
    <w:tmpl w:val="E7126A2F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4A723639"/>
    <w:multiLevelType w:val="multilevel"/>
    <w:tmpl w:val="4A723639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EF2301"/>
    <w:rsid w:val="13EF2301"/>
    <w:rsid w:val="1F953171"/>
    <w:rsid w:val="6C246B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83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2026-04-16T08:24:00Z</dcterms:created>
  <dc:creator>DELL</dc:creator>
  <cp:lastModifiedBy>DELL</cp:lastModifiedBy>
  <dcterms:modified xsi:type="dcterms:W3CDTF">2026-04-16T10:00:15Z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9F84B1D704684D3ABA9011E421228037_13</vt:lpwstr>
  </property>
  <property fmtid="{D5CDD505-2E9C-101B-9397-08002B2CF9AE}" pid="4" name="KSOTemplateDocerSaveRecord">
    <vt:lpwstr>eyJoZGlkIjoiN2RmNGQ2MDc0ZGFiNmIyNjNmMmJiNzcxMzg1OWQzY2YifQ==</vt:lpwstr>
  </property>
</Properties>
</file>