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</w:p>
    <w:bookmarkEnd w:id="0"/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BEB43">
            <w:pPr>
              <w:widowControl/>
              <w:spacing w:line="24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兆声酸洗槽</w:t>
            </w:r>
          </w:p>
          <w:p w14:paraId="393D2AB7">
            <w:pPr>
              <w:widowControl/>
              <w:spacing w:line="240" w:lineRule="atLeast"/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1台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322" w:type="dxa"/>
            <w:vAlign w:val="center"/>
          </w:tcPr>
          <w:p w14:paraId="25F6769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ind w:firstLine="480" w:firstLineChars="20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此次采购兆声酸洗槽1台，设备主体应包含清洗槽体及兆声振板，设备功能需支持兆声水洗及兆声酸洗，设备技术要求如下：</w:t>
            </w:r>
          </w:p>
          <w:p w14:paraId="0A89EFE0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设备功率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≥</w:t>
            </w:r>
            <w:r>
              <w:rPr>
                <w:bCs/>
                <w:sz w:val="24"/>
                <w:szCs w:val="24"/>
              </w:rPr>
              <w:t>2400</w:t>
            </w:r>
            <w:r>
              <w:rPr>
                <w:rFonts w:hint="eastAsia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W；</w:t>
            </w:r>
          </w:p>
          <w:p w14:paraId="4BF92F4C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支持清洗基片尺寸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≥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12</w:t>
            </w:r>
            <w:r>
              <w:rPr>
                <w:rFonts w:hint="eastAsia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英寸；</w:t>
            </w:r>
          </w:p>
          <w:p w14:paraId="61ECF3B8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液体最高温度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≥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 </w:t>
            </w:r>
            <w:r>
              <w:rPr>
                <w:rFonts w:eastAsia="仿宋"/>
                <w:bCs/>
                <w:sz w:val="24"/>
                <w:szCs w:val="24"/>
              </w:rPr>
              <w:t>6</w:t>
            </w:r>
            <w:r>
              <w:rPr>
                <w:bCs/>
                <w:sz w:val="24"/>
                <w:szCs w:val="24"/>
              </w:rPr>
              <w:t>0℃；</w:t>
            </w:r>
          </w:p>
          <w:p w14:paraId="2F42C7BE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兆声频率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≥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950</w:t>
            </w:r>
            <w:r>
              <w:rPr>
                <w:rFonts w:hint="eastAsia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kHz；</w:t>
            </w:r>
          </w:p>
          <w:p w14:paraId="0FE8D706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兆声清洗有效区域</w:t>
            </w:r>
            <w:r>
              <w:rPr>
                <w:rFonts w:eastAsia="仿宋"/>
                <w:bCs/>
                <w:sz w:val="24"/>
                <w:szCs w:val="24"/>
              </w:rPr>
              <w:t>≥</w:t>
            </w:r>
            <w:r>
              <w:rPr>
                <w:rFonts w:hint="eastAsia" w:eastAsia="仿宋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270</w:t>
            </w:r>
            <w:r>
              <w:rPr>
                <w:rFonts w:hint="eastAsia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mm</w:t>
            </w:r>
            <m:oMath>
              <m:r>
                <m:rPr>
                  <m:nor/>
                  <m:sty m:val="p"/>
                </m:rPr>
                <w:rPr>
                  <w:b w:val="0"/>
                  <w:bCs/>
                  <w:i w:val="0"/>
                  <w:sz w:val="24"/>
                  <w:szCs w:val="24"/>
                </w:rPr>
                <m:t>×</m:t>
              </m:r>
            </m:oMath>
            <w:r>
              <w:rPr>
                <w:bCs/>
                <w:sz w:val="24"/>
                <w:szCs w:val="24"/>
              </w:rPr>
              <w:t>300</w:t>
            </w:r>
            <w:r>
              <w:rPr>
                <w:rFonts w:hint="eastAsia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mm；</w:t>
            </w:r>
          </w:p>
          <w:p w14:paraId="75229CDE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清洗槽材质要求：PVDF；</w:t>
            </w:r>
          </w:p>
          <w:p w14:paraId="3CF0D037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清洗槽内尺寸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≥</w:t>
            </w:r>
            <w:r>
              <w:rPr>
                <w:bCs/>
                <w:sz w:val="24"/>
                <w:szCs w:val="24"/>
              </w:rPr>
              <w:t>400</w:t>
            </w:r>
            <w:r>
              <w:rPr>
                <w:rFonts w:hint="eastAsia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mm</w:t>
            </w:r>
            <m:oMath>
              <m:r>
                <m:rPr>
                  <m:nor/>
                  <m:sty m:val="p"/>
                </m:rPr>
                <w:rPr>
                  <w:b w:val="0"/>
                  <w:i w:val="0"/>
                  <w:sz w:val="24"/>
                  <w:szCs w:val="24"/>
                </w:rPr>
                <m:t>×</m:t>
              </m:r>
            </m:oMath>
            <w:r>
              <w:rPr>
                <w:sz w:val="24"/>
                <w:szCs w:val="24"/>
              </w:rPr>
              <w:t>400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</w:t>
            </w:r>
            <m:oMath>
              <m:r>
                <m:rPr>
                  <m:nor/>
                  <m:sty m:val="p"/>
                </m:rPr>
                <w:rPr>
                  <w:b w:val="0"/>
                  <w:i w:val="0"/>
                  <w:sz w:val="24"/>
                  <w:szCs w:val="24"/>
                </w:rPr>
                <m:t>×</m:t>
              </m:r>
            </m:oMath>
            <w:r>
              <w:rPr>
                <w:sz w:val="24"/>
                <w:szCs w:val="24"/>
              </w:rPr>
              <w:t>300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mm；</w:t>
            </w:r>
          </w:p>
          <w:p w14:paraId="4CA91498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振板材质要求：Teflon；</w:t>
            </w:r>
          </w:p>
          <w:p w14:paraId="09B57D51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配备线缆长度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≥</w:t>
            </w:r>
            <w:r>
              <w:rPr>
                <w:bCs/>
                <w:sz w:val="24"/>
                <w:szCs w:val="24"/>
              </w:rPr>
              <w:t>10</w:t>
            </w:r>
            <w:r>
              <w:rPr>
                <w:rFonts w:hint="eastAsia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m</w:t>
            </w:r>
            <w:r>
              <w:rPr>
                <w:rFonts w:hint="eastAsia"/>
                <w:bCs/>
                <w:sz w:val="24"/>
                <w:szCs w:val="24"/>
              </w:rPr>
              <w:t>。</w:t>
            </w:r>
          </w:p>
        </w:tc>
        <w:tc>
          <w:tcPr>
            <w:tcW w:w="1201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FABF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合同签订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后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个月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内</w:t>
            </w:r>
          </w:p>
          <w:p w14:paraId="080BCC7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一次性交付</w:t>
            </w:r>
          </w:p>
          <w:p w14:paraId="3CA4131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  <w:r>
              <w:rPr>
                <w:sz w:val="24"/>
                <w:szCs w:val="24"/>
              </w:rPr>
              <w:t>合同签订后，支付合同总价的</w:t>
            </w: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0%；货物到达买家指定地点并经买家验收合格后，支付合同总价的</w:t>
            </w: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0%。</w:t>
            </w:r>
          </w:p>
          <w:p w14:paraId="54D9D3C0">
            <w:pPr>
              <w:keepNext w:val="0"/>
              <w:keepLines w:val="0"/>
              <w:pageBreakBefore w:val="0"/>
              <w:widowControl/>
              <w:tabs>
                <w:tab w:val="left" w:pos="312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/>
                <w:kern w:val="0"/>
                <w:sz w:val="24"/>
                <w:szCs w:val="24"/>
              </w:rPr>
              <w:t>设备为标准品，出厂供应商提供设备合格证明。</w:t>
            </w:r>
          </w:p>
          <w:p w14:paraId="14E0E3F5">
            <w:pPr>
              <w:keepNext w:val="0"/>
              <w:keepLines w:val="0"/>
              <w:pageBreakBefore w:val="0"/>
              <w:widowControl/>
              <w:tabs>
                <w:tab w:val="left" w:pos="312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hint="eastAsia"/>
                <w:kern w:val="0"/>
                <w:sz w:val="24"/>
                <w:szCs w:val="24"/>
              </w:rPr>
              <w:t>供应商提供不少于1年的质保服务，质保期内发生质量问题的，乙方应自接到甲方异议之日起3个工作日内响应并提出有效解决方案，所产生的费用由乙方承担；乙方需要提供相应技术支持，确保甲方能够及时有效地使用设备。</w:t>
            </w:r>
          </w:p>
          <w:p w14:paraId="1B83BE7C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其他：</w:t>
            </w:r>
          </w:p>
          <w:p w14:paraId="750259D8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包装：包装必须符合所采用的运输方式的要求，</w:t>
            </w:r>
            <w:r>
              <w:rPr>
                <w:rFonts w:hint="eastAsia"/>
                <w:kern w:val="0"/>
                <w:sz w:val="24"/>
                <w:szCs w:val="24"/>
              </w:rPr>
              <w:t>并</w:t>
            </w:r>
            <w:r>
              <w:rPr>
                <w:kern w:val="0"/>
                <w:sz w:val="24"/>
                <w:szCs w:val="24"/>
              </w:rPr>
              <w:t>便于各环节有关人员进行操作；在保证包装牢固的前提下节省费用。货物固定在箱体内，避免内部晃动。在包装箱上四个侧面的两个较大面上分别标记向上、怕湿、禁止翻转和吊装位置等符号，应清晰、可长期保持。清晰注明收货地址、收货人和发货地址，合同号、重量、包装箱的承重点等。</w:t>
            </w:r>
          </w:p>
          <w:p w14:paraId="53D93FDB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运输：陆运</w:t>
            </w:r>
            <w:r>
              <w:rPr>
                <w:rFonts w:hint="eastAsia"/>
                <w:kern w:val="0"/>
                <w:sz w:val="24"/>
                <w:szCs w:val="24"/>
              </w:rPr>
              <w:t>（</w:t>
            </w:r>
            <w:r>
              <w:rPr>
                <w:kern w:val="0"/>
                <w:sz w:val="24"/>
                <w:szCs w:val="24"/>
              </w:rPr>
              <w:t>公路或铁路</w:t>
            </w:r>
            <w:r>
              <w:rPr>
                <w:rFonts w:hint="eastAsia"/>
                <w:kern w:val="0"/>
                <w:sz w:val="24"/>
                <w:szCs w:val="24"/>
              </w:rPr>
              <w:t>）</w:t>
            </w:r>
            <w:r>
              <w:rPr>
                <w:kern w:val="0"/>
                <w:sz w:val="24"/>
                <w:szCs w:val="24"/>
              </w:rPr>
              <w:t xml:space="preserve"> 或空运。</w:t>
            </w:r>
          </w:p>
        </w:tc>
        <w:tc>
          <w:tcPr>
            <w:tcW w:w="1201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25AB3EFD">
      <w:pPr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</w:p>
    <w:p w14:paraId="6B36AD4F">
      <w:pPr>
        <w:ind w:right="840"/>
        <w:jc w:val="right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6DF8710F">
      <w:pPr>
        <w:ind w:right="840"/>
        <w:jc w:val="right"/>
      </w:pP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p w14:paraId="3656B948"/>
    <w:p w14:paraId="54E9D3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C00822"/>
    <w:multiLevelType w:val="singleLevel"/>
    <w:tmpl w:val="98C0082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881A23"/>
    <w:rsid w:val="4D88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2026-06-12T01:47:00Z</dcterms:created>
  <dc:creator>DELL</dc:creator>
  <cp:lastModifiedBy>DELL</cp:lastModifiedBy>
  <dcterms:modified xsi:type="dcterms:W3CDTF">2026-06-12T01:49:00Z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F881EEFABD2F4F5B9EB70F978C7CBC74_11</vt:lpwstr>
  </property>
  <property fmtid="{D5CDD505-2E9C-101B-9397-08002B2CF9AE}" pid="4" name="KSOTemplateDocerSaveRecord">
    <vt:lpwstr>eyJoZGlkIjoiN2RmNGQ2MDc0ZGFiNmIyNjNmMmJiNzcxMzg1OWQzY2YifQ==</vt:lpwstr>
  </property>
</Properties>
</file>