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4ACE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z w:val="24"/>
                <w:szCs w:val="24"/>
                <w:lang w:val="en-US" w:eastAsia="zh-CN"/>
              </w:rPr>
              <w:t>超级陶粲装置关键技术攻关项目束流测试平台（STCF-BTP）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负电子段废束桶、支撑及屏蔽材料</w:t>
            </w:r>
          </w:p>
          <w:p w14:paraId="0F5BEB43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105" w:type="dxa"/>
            <w:vAlign w:val="center"/>
          </w:tcPr>
          <w:p w14:paraId="10EA387E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1、材料要求：</w:t>
            </w:r>
          </w:p>
          <w:p w14:paraId="6B53C531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（1）含硼聚乙烯：硼含量5±0.5%，密度不小于1.03g/cm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，聚乙烯应选型高密度板材，材料的技术要求应符合《QB/T 2490-2000》等相关标准。</w:t>
            </w:r>
          </w:p>
          <w:p w14:paraId="25ADB497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（2）铅：密度不小于11.25g/cm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；材料的技术要求应符合《GB/T1470-2014》等相关标准。</w:t>
            </w:r>
          </w:p>
          <w:p w14:paraId="41D76AD8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（3）铜：密度不小于8.85g/cm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；材料的技术要求应符合《GB/T 5231-2022》等相关标准。</w:t>
            </w:r>
          </w:p>
          <w:p w14:paraId="1BA1D5A7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2、尺寸要求：</w:t>
            </w:r>
          </w:p>
          <w:p w14:paraId="5350CA69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制作精度小于±5mm。</w:t>
            </w:r>
          </w:p>
          <w:p w14:paraId="08C39B75">
            <w:pPr>
              <w:tabs>
                <w:tab w:val="left" w:pos="6915"/>
              </w:tabs>
              <w:snapToGrid w:val="0"/>
              <w:spacing w:line="300" w:lineRule="auto"/>
              <w:jc w:val="both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①废束桶1（负电子段能谱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靶末端废束桶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）为圆锥台结构，束流中心高度（即废束桶中心高度）为地面以上1200m m，束流管道外直径57 mm，插入废束桶深度120mm，插入倾角45°。废束桶1外形尺寸：上底半径400mm，下底半径1000mm，高370mm的圆锥台的一部分（沿上底圆切线垂直切割剩余部分）；内部结构：最内层圆柱体为半径150mm，高200mm的铜；次内层圆柱体外半径180mm，高250mm的含硼聚乙烯；第三层圆柱体外半径280mm，高300mm的铅；其余部分为铜。剖面图和具体尺寸如下图所示，整体公差小于±5mm。废束桶开孔尺寸：D=85 mm，L=120 mm。（后期须与束流真空管匹配安装，盖板为对开形式，盖板尺寸：d=63 mm，D=120 mm，厚度25 mm；另废束桶本体外壳应考虑使用不易腐蚀生锈的材质，废束桶本体为方便搬运应采用组合方式）。</w:t>
            </w:r>
          </w:p>
          <w:p w14:paraId="7C235A11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drawing>
                <wp:inline distT="0" distB="0" distL="114300" distR="114300">
                  <wp:extent cx="3115945" cy="2082165"/>
                  <wp:effectExtent l="0" t="0" r="8255" b="1333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5945" cy="2082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375AF6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②废束桶2（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负电子段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末端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废束桶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）为长方体外形结构，束流中心高度（即废束桶中心高度）为地面以上1200m。废束桶2外形尺寸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（长×宽×深）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为：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840 mm×840 mm×910 mm。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剖面图和具体尺寸如下图所示。（废束桶2已完成制作，仅需对其支撑结构及调节机构进行深化设计并制作）。</w:t>
            </w:r>
          </w:p>
          <w:p w14:paraId="7969B70D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drawing>
                <wp:inline distT="0" distB="0" distL="114300" distR="114300">
                  <wp:extent cx="5070475" cy="2456815"/>
                  <wp:effectExtent l="0" t="0" r="15875" b="63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0475" cy="245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0DA7EF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3、支撑结构及方位调节机构</w:t>
            </w:r>
          </w:p>
          <w:p w14:paraId="19A51591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由供货方自行设计，要求能够稳定承载废束桶不发生位移，可进行空间方位调节。同时需考虑总体地面承重，地面承重5t/m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。</w:t>
            </w:r>
          </w:p>
          <w:p w14:paraId="25607476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铅砖（数量50块）：尺寸200*100*50（单位mm），铅砖需带有V型企口（凹凸相间的连接结构）实现凹凸镶嵌错缝堆砌，没有通缝，铅砖密度≥11.25g/cm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，原始铅锭中铅纯度≥99.99%，铅砖中锑含量1%~2%，铅和锑总质量分数≥99.5%。</w:t>
            </w:r>
          </w:p>
          <w:p w14:paraId="645BCA42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含硼聚乙烯块（数量50块）：尺寸200*100*50（单位mm），含硼聚乙烯块需带有V型企口（凹凸相间的连接结构）实现凹凸镶嵌错缝堆砌，没有通缝，含硼量≥5%，密度≥1.03g/cm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。</w:t>
            </w:r>
          </w:p>
          <w:p w14:paraId="25218201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</w:p>
          <w:p w14:paraId="12AE1658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报价人需根据上述技术要求，完成1号废束桶本体、两个废束桶的支撑结构及调节机构的深化设计；以上设计均需出具三维模型图。同时完成1号废束桶本体、两个废束桶的支撑结构、调节机构，铅砖，含硼聚乙烯块的制作工作（依据甲方要求进行表面喷漆）、运输、安装和调试等工作。</w:t>
            </w:r>
          </w:p>
          <w:p w14:paraId="090263C4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ECB51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126D253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sz w:val="24"/>
                <w:szCs w:val="24"/>
              </w:rPr>
              <w:t>报价人资格要求：</w:t>
            </w:r>
          </w:p>
          <w:p w14:paraId="068527E4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>1）具有独立法人资格的机构，实施本项目不超出其经营范围；</w:t>
            </w:r>
          </w:p>
          <w:p w14:paraId="71ECF4CD">
            <w:pPr>
              <w:tabs>
                <w:tab w:val="left" w:pos="6915"/>
              </w:tabs>
              <w:snapToGrid w:val="0"/>
              <w:spacing w:line="300" w:lineRule="auto"/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highlight w:val="none"/>
              </w:rPr>
              <w:t>2）报价人近五年内（以收到本询价函为截止日期计算）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highlight w:val="none"/>
                <w:lang w:val="en-US" w:eastAsia="zh-CN"/>
              </w:rPr>
              <w:t>废束桶相关业绩证明材料一份。</w:t>
            </w:r>
          </w:p>
          <w:p w14:paraId="5630A680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</w:p>
          <w:p w14:paraId="37875576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后，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乙方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应在</w:t>
            </w: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4个月内完成备货，接到甲方通知后，应于15个工作日内完成现场安装、调试、验收工作。</w:t>
            </w:r>
          </w:p>
          <w:p w14:paraId="002F67AA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4E8BF691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合同签订后1个月内完成图纸会签工作，图纸会签结束后3个月内完成制作，接到甲方通知后，应于15个工作日内完成现场安装、调试、验收工作。</w:t>
            </w:r>
          </w:p>
          <w:p w14:paraId="0224F96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付款方式：</w:t>
            </w:r>
          </w:p>
          <w:p w14:paraId="78F94845">
            <w:pPr>
              <w:tabs>
                <w:tab w:val="left" w:pos="6915"/>
              </w:tabs>
              <w:jc w:val="left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合同签订后付预付款（合同总金额的50%）；合同全部执行完成，并按要求提供所需完整档案，付尾款（合同总金额的50%）。</w:t>
            </w:r>
          </w:p>
          <w:p w14:paraId="25B134A7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>质量控制要求</w:t>
            </w: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eastAsia="zh-CN"/>
              </w:rPr>
              <w:t>：</w:t>
            </w:r>
          </w:p>
          <w:p w14:paraId="0DAAE3BD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所提供的货物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材料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，均符合国家和行业相关技术规范要求以及甲方的特殊质量要求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资料齐全(包含出厂检验报告、合格证、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检测报告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等其他相关资料)，包装完整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 w14:paraId="03F7BB4E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厂家应根据质量计划和实际加工进展定期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提供进度报告和关键节点阶段检测验收情况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；</w:t>
            </w:r>
          </w:p>
          <w:p w14:paraId="1F96DED9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制造过程中要加强质量控制，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参与全程质量跟踪，在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甲方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驻厂跟踪时，厂家应予以配合，并提供必要条件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。</w:t>
            </w:r>
          </w:p>
          <w:p w14:paraId="7B26F2CA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</w:p>
          <w:p w14:paraId="0B412EC8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1.出厂检验测试记录和报告。</w:t>
            </w:r>
          </w:p>
          <w:p w14:paraId="56E91C32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2.提供屏蔽材料的证明文件：含硼聚乙烯、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铅、铜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密度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证明材料，含硼聚乙烯含硼量证明材料。按要求完成现场安装任务，并保证支撑结构的承重，调节机构的精度。</w:t>
            </w:r>
          </w:p>
          <w:p w14:paraId="56B21378">
            <w:pPr>
              <w:tabs>
                <w:tab w:val="left" w:pos="6915"/>
              </w:tabs>
              <w:jc w:val="lef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</w:p>
          <w:p w14:paraId="5ACECD5A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</w:rPr>
              <w:t>质保期自验收合格之日起不少于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</w:rPr>
              <w:t>年，范围包括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废束桶、支撑结构、调节机构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</w:rPr>
              <w:t>及服务。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质保期内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highlight w:val="none"/>
                <w:shd w:val="clear" w:color="auto" w:fill="FFFFFF"/>
              </w:rPr>
              <w:t>收到通知后2小时内响应，24小时内到达现场并采取免费维修措施或更换有缺陷的货物或部件，解决问题。</w:t>
            </w:r>
          </w:p>
          <w:p w14:paraId="707F4737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DFFEB29">
      <w:pPr>
        <w:ind w:right="840"/>
        <w:rPr>
          <w:sz w:val="24"/>
          <w:szCs w:val="24"/>
        </w:rPr>
      </w:pPr>
    </w:p>
    <w:p w14:paraId="287DDEA5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2CBCCFC8"/>
    <w:p w14:paraId="754146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12802"/>
    <w:rsid w:val="6741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2025-12-25T09:31:00Z</dcterms:created>
  <dc:creator>amour</dc:creator>
  <cp:lastModifiedBy>amour</cp:lastModifiedBy>
  <dcterms:modified xsi:type="dcterms:W3CDTF">2025-12-25T09:33:20Z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79D38CA1B02D4FA0ABA634AE71E4FFAA_11</vt:lpwstr>
  </property>
  <property fmtid="{D5CDD505-2E9C-101B-9397-08002B2CF9AE}" pid="4" name="KSOTemplateDocerSaveRecord">
    <vt:lpwstr>eyJoZGlkIjoiN2RmNGQ2MDc0ZGFiNmIyNjNmMmJiNzcxMzg1OWQzY2YiLCJ1c2VySWQiOiIxMDQxNDY4Njc5In0=</vt:lpwstr>
  </property>
</Properties>
</file>