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120"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49"/>
        <w:gridCol w:w="5991"/>
        <w:gridCol w:w="1403"/>
        <w:gridCol w:w="1041"/>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436" w:type="dxa"/>
            <w:vAlign w:val="center"/>
          </w:tcPr>
          <w:p w14:paraId="75C250BA">
            <w:pPr>
              <w:spacing w:line="240" w:lineRule="atLeast"/>
              <w:jc w:val="center"/>
              <w:rPr>
                <w:sz w:val="22"/>
              </w:rPr>
            </w:pPr>
            <w:r>
              <w:rPr>
                <w:rFonts w:hint="eastAsia"/>
                <w:sz w:val="22"/>
              </w:rPr>
              <w:t>序号</w:t>
            </w:r>
          </w:p>
        </w:tc>
        <w:tc>
          <w:tcPr>
            <w:tcW w:w="1249" w:type="dxa"/>
            <w:vAlign w:val="center"/>
          </w:tcPr>
          <w:p w14:paraId="3A9FF52B">
            <w:pPr>
              <w:spacing w:line="240" w:lineRule="atLeast"/>
              <w:jc w:val="center"/>
              <w:rPr>
                <w:sz w:val="22"/>
              </w:rPr>
            </w:pPr>
            <w:r>
              <w:rPr>
                <w:rFonts w:hint="eastAsia"/>
                <w:sz w:val="22"/>
              </w:rPr>
              <w:t>名称</w:t>
            </w:r>
          </w:p>
        </w:tc>
        <w:tc>
          <w:tcPr>
            <w:tcW w:w="5991" w:type="dxa"/>
            <w:vAlign w:val="center"/>
          </w:tcPr>
          <w:p w14:paraId="258D475E">
            <w:pPr>
              <w:spacing w:line="240" w:lineRule="atLeast"/>
              <w:jc w:val="center"/>
              <w:rPr>
                <w:sz w:val="22"/>
              </w:rPr>
            </w:pPr>
            <w:r>
              <w:rPr>
                <w:rFonts w:hint="eastAsia"/>
                <w:sz w:val="22"/>
              </w:rPr>
              <w:t>技术指标</w:t>
            </w:r>
          </w:p>
        </w:tc>
        <w:tc>
          <w:tcPr>
            <w:tcW w:w="1403"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41"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36" w:type="dxa"/>
            <w:vAlign w:val="center"/>
          </w:tcPr>
          <w:p w14:paraId="185CA09D">
            <w:pPr>
              <w:spacing w:line="240" w:lineRule="atLeast"/>
              <w:jc w:val="center"/>
            </w:pPr>
            <w:r>
              <w:rPr>
                <w:rFonts w:hint="eastAsia"/>
              </w:rPr>
              <w:t>1</w:t>
            </w:r>
          </w:p>
        </w:tc>
        <w:tc>
          <w:tcPr>
            <w:tcW w:w="1249"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sz w:val="22"/>
                <w:szCs w:val="22"/>
              </w:rPr>
              <w:t>超高真空退火系统</w:t>
            </w:r>
          </w:p>
        </w:tc>
        <w:tc>
          <w:tcPr>
            <w:tcW w:w="5991" w:type="dxa"/>
            <w:tcBorders>
              <w:bottom w:val="single" w:color="auto" w:sz="4" w:space="0"/>
            </w:tcBorders>
            <w:shd w:val="clear" w:color="auto" w:fill="auto"/>
            <w:vAlign w:val="center"/>
          </w:tcPr>
          <w:p w14:paraId="2E845F39">
            <w:pPr>
              <w:tabs>
                <w:tab w:val="left" w:pos="6915"/>
              </w:tabs>
              <w:ind w:firstLine="420" w:firstLineChars="200"/>
              <w:jc w:val="left"/>
              <w:rPr>
                <w:iCs/>
                <w:szCs w:val="21"/>
              </w:rPr>
            </w:pPr>
            <w:r>
              <w:rPr>
                <w:iCs/>
                <w:szCs w:val="21"/>
              </w:rPr>
              <w:t>超高真空退火</w:t>
            </w:r>
            <w:r>
              <w:rPr>
                <w:rFonts w:hint="eastAsia"/>
                <w:iCs/>
                <w:szCs w:val="21"/>
              </w:rPr>
              <w:t>系统，数量1套。用于微纳器件工况电子态表征实验站超高真空内样品退火和其他处理。</w:t>
            </w:r>
          </w:p>
          <w:p w14:paraId="54FF68AB">
            <w:pPr>
              <w:tabs>
                <w:tab w:val="left" w:pos="6915"/>
              </w:tabs>
              <w:ind w:firstLine="420" w:firstLineChars="200"/>
              <w:jc w:val="left"/>
              <w:rPr>
                <w:iCs/>
                <w:szCs w:val="21"/>
              </w:rPr>
            </w:pPr>
            <w:bookmarkStart w:id="0" w:name="OLE_LINK1"/>
            <w:r>
              <w:rPr>
                <w:iCs/>
                <w:szCs w:val="21"/>
              </w:rPr>
              <w:t>1) 配置及数量：</w:t>
            </w:r>
          </w:p>
          <w:p w14:paraId="6FAAF7B9">
            <w:pPr>
              <w:tabs>
                <w:tab w:val="left" w:pos="6915"/>
              </w:tabs>
              <w:ind w:firstLine="420" w:firstLineChars="200"/>
              <w:jc w:val="left"/>
              <w:rPr>
                <w:iCs/>
                <w:szCs w:val="21"/>
              </w:rPr>
            </w:pPr>
            <w:r>
              <w:rPr>
                <w:rFonts w:hint="eastAsia"/>
                <w:iCs/>
                <w:szCs w:val="21"/>
              </w:rPr>
              <w:t>四轴耐氧样品操纵台： 1套。</w:t>
            </w:r>
            <w:r>
              <w:rPr>
                <w:iCs/>
                <w:szCs w:val="21"/>
              </w:rPr>
              <w:t xml:space="preserve"> </w:t>
            </w:r>
            <w:r>
              <w:rPr>
                <w:rFonts w:hint="eastAsia"/>
                <w:iCs/>
                <w:szCs w:val="21"/>
              </w:rPr>
              <w:t xml:space="preserve">  </w:t>
            </w:r>
            <w:r>
              <w:rPr>
                <w:iCs/>
                <w:szCs w:val="21"/>
              </w:rPr>
              <w:t xml:space="preserve"> </w:t>
            </w:r>
          </w:p>
          <w:p w14:paraId="003CE35D">
            <w:pPr>
              <w:tabs>
                <w:tab w:val="left" w:pos="6915"/>
              </w:tabs>
              <w:ind w:firstLine="420" w:firstLineChars="200"/>
              <w:jc w:val="left"/>
              <w:rPr>
                <w:iCs/>
                <w:szCs w:val="21"/>
              </w:rPr>
            </w:pPr>
            <w:r>
              <w:rPr>
                <w:rFonts w:hint="eastAsia"/>
                <w:iCs/>
                <w:szCs w:val="21"/>
              </w:rPr>
              <w:t>退火腔体系统</w:t>
            </w:r>
            <w:r>
              <w:rPr>
                <w:iCs/>
                <w:szCs w:val="21"/>
              </w:rPr>
              <w:t>：</w:t>
            </w:r>
            <w:r>
              <w:rPr>
                <w:rFonts w:hint="eastAsia"/>
                <w:iCs/>
                <w:szCs w:val="21"/>
              </w:rPr>
              <w:t>1</w:t>
            </w:r>
            <w:r>
              <w:rPr>
                <w:iCs/>
                <w:szCs w:val="21"/>
              </w:rPr>
              <w:t>套</w:t>
            </w:r>
            <w:r>
              <w:rPr>
                <w:rFonts w:hint="eastAsia"/>
                <w:iCs/>
                <w:szCs w:val="21"/>
              </w:rPr>
              <w:t>。</w:t>
            </w:r>
            <w:r>
              <w:rPr>
                <w:iCs/>
                <w:szCs w:val="21"/>
              </w:rPr>
              <w:t>包含</w:t>
            </w:r>
            <w:r>
              <w:rPr>
                <w:rFonts w:hint="eastAsia"/>
                <w:iCs/>
                <w:szCs w:val="21"/>
              </w:rPr>
              <w:t>真空腔体1个，真空测量系统（真空规），退火监测系统（</w:t>
            </w:r>
            <w:r>
              <w:rPr>
                <w:iCs/>
                <w:szCs w:val="21"/>
              </w:rPr>
              <w:t>反射式高能电子衍射仪</w:t>
            </w:r>
            <w:r>
              <w:rPr>
                <w:rFonts w:hint="eastAsia"/>
                <w:iCs/>
                <w:szCs w:val="21"/>
              </w:rPr>
              <w:t>（RHEED）1台，红外测温仪1台）以及腔体</w:t>
            </w:r>
            <w:r>
              <w:rPr>
                <w:iCs/>
                <w:szCs w:val="21"/>
              </w:rPr>
              <w:t>支架。</w:t>
            </w:r>
          </w:p>
          <w:p w14:paraId="411475FC">
            <w:pPr>
              <w:tabs>
                <w:tab w:val="left" w:pos="6915"/>
              </w:tabs>
              <w:ind w:firstLine="435"/>
              <w:jc w:val="left"/>
              <w:rPr>
                <w:iCs/>
                <w:szCs w:val="21"/>
              </w:rPr>
            </w:pPr>
            <w:r>
              <w:rPr>
                <w:iCs/>
                <w:szCs w:val="21"/>
              </w:rPr>
              <w:t>超高真空配件</w:t>
            </w:r>
            <w:r>
              <w:rPr>
                <w:rFonts w:hint="eastAsia"/>
                <w:iCs/>
                <w:szCs w:val="21"/>
              </w:rPr>
              <w:t>：包含CF00气动挡板阀1个，中空直线导入器2个，CF35视窗4个及视窗挡板1个，CF63视窗及挡板各1个，CF100视窗1个</w:t>
            </w:r>
          </w:p>
          <w:p w14:paraId="717922E2">
            <w:pPr>
              <w:tabs>
                <w:tab w:val="left" w:pos="6915"/>
              </w:tabs>
              <w:ind w:firstLine="435"/>
              <w:jc w:val="left"/>
              <w:rPr>
                <w:iCs/>
                <w:szCs w:val="21"/>
              </w:rPr>
            </w:pPr>
            <w:r>
              <w:rPr>
                <w:iCs/>
                <w:szCs w:val="21"/>
              </w:rPr>
              <w:t>控制与烘烤系统</w:t>
            </w:r>
            <w:r>
              <w:rPr>
                <w:rFonts w:hint="eastAsia"/>
                <w:iCs/>
                <w:szCs w:val="21"/>
              </w:rPr>
              <w:t>：1套，包含</w:t>
            </w:r>
            <w:r>
              <w:rPr>
                <w:iCs/>
                <w:szCs w:val="21"/>
              </w:rPr>
              <w:t>控制机柜</w:t>
            </w:r>
            <w:r>
              <w:rPr>
                <w:rFonts w:hint="eastAsia"/>
                <w:iCs/>
                <w:szCs w:val="21"/>
              </w:rPr>
              <w:t>、</w:t>
            </w:r>
            <w:r>
              <w:rPr>
                <w:iCs/>
                <w:szCs w:val="21"/>
              </w:rPr>
              <w:t>烘烤帐篷</w:t>
            </w:r>
            <w:r>
              <w:rPr>
                <w:rFonts w:hint="eastAsia"/>
                <w:iCs/>
                <w:szCs w:val="21"/>
              </w:rPr>
              <w:t>，</w:t>
            </w:r>
            <w:r>
              <w:rPr>
                <w:iCs/>
                <w:szCs w:val="21"/>
              </w:rPr>
              <w:t>温控</w:t>
            </w:r>
            <w:r>
              <w:rPr>
                <w:rFonts w:hint="eastAsia"/>
                <w:iCs/>
                <w:szCs w:val="21"/>
              </w:rPr>
              <w:t>等</w:t>
            </w:r>
          </w:p>
          <w:p w14:paraId="66249117">
            <w:pPr>
              <w:tabs>
                <w:tab w:val="left" w:pos="6915"/>
              </w:tabs>
              <w:ind w:firstLine="420" w:firstLineChars="200"/>
              <w:jc w:val="left"/>
              <w:rPr>
                <w:iCs/>
                <w:szCs w:val="21"/>
              </w:rPr>
            </w:pPr>
            <w:r>
              <w:rPr>
                <w:iCs/>
                <w:szCs w:val="21"/>
              </w:rPr>
              <w:t>2) 关键技术指标：</w:t>
            </w:r>
          </w:p>
          <w:p w14:paraId="19233564">
            <w:pPr>
              <w:tabs>
                <w:tab w:val="left" w:pos="6915"/>
              </w:tabs>
              <w:ind w:firstLine="435"/>
              <w:jc w:val="left"/>
              <w:rPr>
                <w:iCs/>
                <w:szCs w:val="21"/>
              </w:rPr>
            </w:pPr>
            <w:r>
              <w:rPr>
                <w:iCs/>
                <w:szCs w:val="21"/>
              </w:rPr>
              <w:t>四轴耐氧样品操纵台</w:t>
            </w:r>
            <w:r>
              <w:rPr>
                <w:rFonts w:hint="eastAsia"/>
                <w:iCs/>
                <w:szCs w:val="21"/>
              </w:rPr>
              <w:t>：适配旗型样品托，四轴，可在1</w:t>
            </w:r>
            <w:r>
              <w:rPr>
                <w:iCs/>
                <w:szCs w:val="21"/>
              </w:rPr>
              <w:t xml:space="preserve"> x10</w:t>
            </w:r>
            <w:r>
              <w:rPr>
                <w:iCs/>
                <w:szCs w:val="21"/>
                <w:vertAlign w:val="superscript"/>
              </w:rPr>
              <w:t>-</w:t>
            </w:r>
            <w:r>
              <w:rPr>
                <w:rFonts w:hint="eastAsia"/>
                <w:iCs/>
                <w:szCs w:val="21"/>
                <w:vertAlign w:val="superscript"/>
              </w:rPr>
              <w:t>4</w:t>
            </w:r>
            <w:r>
              <w:rPr>
                <w:rFonts w:hint="eastAsia"/>
                <w:iCs/>
                <w:szCs w:val="21"/>
              </w:rPr>
              <w:t>mbar氧压下加热样品至800</w:t>
            </w:r>
            <w:r>
              <w:rPr>
                <w:iCs/>
                <w:szCs w:val="21"/>
              </w:rPr>
              <w:t>℃</w:t>
            </w:r>
            <w:r>
              <w:rPr>
                <w:rFonts w:hint="eastAsia"/>
                <w:iCs/>
                <w:szCs w:val="21"/>
              </w:rPr>
              <w:t>；</w:t>
            </w:r>
          </w:p>
          <w:p w14:paraId="066921C3">
            <w:pPr>
              <w:tabs>
                <w:tab w:val="left" w:pos="6915"/>
              </w:tabs>
              <w:ind w:firstLine="435"/>
              <w:jc w:val="left"/>
              <w:rPr>
                <w:iCs/>
                <w:szCs w:val="21"/>
              </w:rPr>
            </w:pPr>
            <w:r>
              <w:rPr>
                <w:rFonts w:hint="eastAsia"/>
                <w:iCs/>
                <w:szCs w:val="21"/>
              </w:rPr>
              <w:t>退火腔体系统：真空腔体：本底真空5</w:t>
            </w:r>
            <w:r>
              <w:rPr>
                <w:iCs/>
                <w:szCs w:val="21"/>
              </w:rPr>
              <w:t>x10</w:t>
            </w:r>
            <w:r>
              <w:rPr>
                <w:iCs/>
                <w:szCs w:val="21"/>
                <w:vertAlign w:val="superscript"/>
              </w:rPr>
              <w:t>-</w:t>
            </w:r>
            <w:r>
              <w:rPr>
                <w:rFonts w:hint="eastAsia"/>
                <w:iCs/>
                <w:szCs w:val="21"/>
                <w:vertAlign w:val="superscript"/>
              </w:rPr>
              <w:t>10</w:t>
            </w:r>
            <w:r>
              <w:rPr>
                <w:iCs/>
                <w:szCs w:val="21"/>
              </w:rPr>
              <w:t>mbar；</w:t>
            </w:r>
            <w:r>
              <w:rPr>
                <w:rFonts w:hint="eastAsia"/>
                <w:iCs/>
                <w:szCs w:val="21"/>
              </w:rPr>
              <w:t>真空测量系统</w:t>
            </w:r>
            <w:r>
              <w:rPr>
                <w:iCs/>
                <w:szCs w:val="21"/>
              </w:rPr>
              <w:t>测量范围</w:t>
            </w:r>
            <w:r>
              <w:rPr>
                <w:rFonts w:hint="eastAsia"/>
                <w:iCs/>
                <w:szCs w:val="21"/>
              </w:rPr>
              <w:t>1</w:t>
            </w:r>
            <w:r>
              <w:rPr>
                <w:iCs/>
                <w:szCs w:val="21"/>
              </w:rPr>
              <w:t>x10-</w:t>
            </w:r>
            <w:r>
              <w:rPr>
                <w:iCs/>
                <w:szCs w:val="21"/>
                <w:vertAlign w:val="superscript"/>
              </w:rPr>
              <w:t>1</w:t>
            </w:r>
            <w:r>
              <w:rPr>
                <w:rFonts w:hint="eastAsia"/>
                <w:iCs/>
                <w:szCs w:val="21"/>
                <w:vertAlign w:val="superscript"/>
              </w:rPr>
              <w:t>1</w:t>
            </w:r>
            <w:r>
              <w:rPr>
                <w:iCs/>
                <w:szCs w:val="21"/>
              </w:rPr>
              <w:t>-1x10</w:t>
            </w:r>
            <w:r>
              <w:rPr>
                <w:iCs/>
                <w:szCs w:val="21"/>
                <w:vertAlign w:val="superscript"/>
              </w:rPr>
              <w:t>-3</w:t>
            </w:r>
            <w:r>
              <w:rPr>
                <w:iCs/>
                <w:szCs w:val="21"/>
              </w:rPr>
              <w:t>mbar</w:t>
            </w:r>
            <w:r>
              <w:rPr>
                <w:rFonts w:hint="eastAsia"/>
                <w:iCs/>
                <w:szCs w:val="21"/>
              </w:rPr>
              <w:t>，耐烘烤；退火监测</w:t>
            </w:r>
            <w:r>
              <w:rPr>
                <w:iCs/>
                <w:szCs w:val="21"/>
              </w:rPr>
              <w:t>系统：</w:t>
            </w:r>
            <w:r>
              <w:rPr>
                <w:rFonts w:hint="eastAsia"/>
                <w:iCs/>
                <w:szCs w:val="21"/>
              </w:rPr>
              <w:t>RHEED一级差分结构，最大电子能量15keV，带Beam Rocking功能及自动软件控制；红外测温仪测温范围200-1500℃，自动对焦；腔体支架整体可移动，高度可调。</w:t>
            </w:r>
          </w:p>
          <w:p w14:paraId="6CF12E2A">
            <w:pPr>
              <w:tabs>
                <w:tab w:val="left" w:pos="6915"/>
              </w:tabs>
              <w:ind w:firstLine="435"/>
              <w:jc w:val="left"/>
              <w:rPr>
                <w:bCs/>
                <w:sz w:val="24"/>
              </w:rPr>
            </w:pPr>
            <w:r>
              <w:rPr>
                <w:iCs/>
                <w:szCs w:val="21"/>
              </w:rPr>
              <w:t>控制与烘烤系统</w:t>
            </w:r>
            <w:r>
              <w:rPr>
                <w:rFonts w:hint="eastAsia"/>
                <w:iCs/>
                <w:szCs w:val="21"/>
              </w:rPr>
              <w:t>：含系统自动保护及烘烤程序分段控制</w:t>
            </w:r>
            <w:bookmarkEnd w:id="0"/>
            <w:r>
              <w:rPr>
                <w:rFonts w:hint="eastAsia"/>
                <w:iCs/>
                <w:szCs w:val="21"/>
                <w:lang w:eastAsia="zh-CN"/>
              </w:rPr>
              <w:t>。</w:t>
            </w:r>
          </w:p>
        </w:tc>
        <w:tc>
          <w:tcPr>
            <w:tcW w:w="1403" w:type="dxa"/>
            <w:vAlign w:val="center"/>
          </w:tcPr>
          <w:p w14:paraId="205FF5AB">
            <w:pPr>
              <w:spacing w:line="240" w:lineRule="atLeast"/>
              <w:jc w:val="center"/>
            </w:pPr>
          </w:p>
        </w:tc>
        <w:tc>
          <w:tcPr>
            <w:tcW w:w="1041"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436" w:type="dxa"/>
            <w:vAlign w:val="center"/>
          </w:tcPr>
          <w:p w14:paraId="21D5CC9B">
            <w:pPr>
              <w:spacing w:line="240" w:lineRule="atLeast"/>
              <w:jc w:val="center"/>
            </w:pPr>
            <w:r>
              <w:t>2</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991" w:type="dxa"/>
            <w:tcBorders>
              <w:top w:val="single" w:color="auto" w:sz="4" w:space="0"/>
              <w:left w:val="nil"/>
              <w:bottom w:val="single" w:color="auto" w:sz="4" w:space="0"/>
              <w:right w:val="single" w:color="auto" w:sz="4" w:space="0"/>
            </w:tcBorders>
            <w:shd w:val="clear" w:color="auto" w:fill="auto"/>
            <w:vAlign w:val="center"/>
          </w:tcPr>
          <w:p w14:paraId="62826E3E">
            <w:pPr>
              <w:tabs>
                <w:tab w:val="left" w:pos="6915"/>
              </w:tabs>
              <w:jc w:val="left"/>
              <w:rPr>
                <w:rFonts w:ascii="宋体" w:hAnsi="宋体"/>
                <w:b/>
                <w:szCs w:val="21"/>
              </w:rPr>
            </w:pPr>
            <w:r>
              <w:rPr>
                <w:rFonts w:ascii="宋体" w:hAnsi="宋体"/>
                <w:b/>
                <w:szCs w:val="21"/>
              </w:rPr>
              <w:t>交货期</w:t>
            </w:r>
            <w:r>
              <w:rPr>
                <w:rFonts w:hint="eastAsia" w:ascii="宋体" w:hAnsi="宋体"/>
                <w:b/>
                <w:szCs w:val="21"/>
              </w:rPr>
              <w:t>：</w:t>
            </w:r>
            <w:r>
              <w:rPr>
                <w:rFonts w:hint="eastAsia" w:ascii="宋体" w:hAnsi="宋体"/>
              </w:rPr>
              <w:t>乙方于图纸确认后6个月将货物送达至甲方指定地点</w:t>
            </w:r>
            <w:r>
              <w:rPr>
                <w:rFonts w:ascii="宋体" w:hAnsi="宋体"/>
              </w:rPr>
              <w:t>。</w:t>
            </w:r>
          </w:p>
          <w:p w14:paraId="74A88A96">
            <w:pPr>
              <w:tabs>
                <w:tab w:val="left" w:pos="6915"/>
              </w:tabs>
              <w:jc w:val="left"/>
              <w:rPr>
                <w:rFonts w:ascii="宋体" w:hAnsi="宋体"/>
                <w:b/>
                <w:szCs w:val="21"/>
              </w:rPr>
            </w:pPr>
            <w:r>
              <w:rPr>
                <w:rFonts w:ascii="宋体" w:hAnsi="宋体"/>
                <w:b/>
                <w:szCs w:val="21"/>
              </w:rPr>
              <w:t>交付进度</w:t>
            </w:r>
            <w:r>
              <w:rPr>
                <w:rFonts w:hint="eastAsia" w:ascii="宋体" w:hAnsi="宋体"/>
                <w:b/>
                <w:szCs w:val="21"/>
              </w:rPr>
              <w:t>：</w:t>
            </w:r>
          </w:p>
          <w:p w14:paraId="379C6791">
            <w:pPr>
              <w:tabs>
                <w:tab w:val="left" w:pos="6915"/>
              </w:tabs>
              <w:ind w:left="420" w:leftChars="200"/>
              <w:jc w:val="left"/>
              <w:rPr>
                <w:rFonts w:ascii="宋体" w:hAnsi="宋体"/>
                <w:b/>
                <w:szCs w:val="21"/>
              </w:rPr>
            </w:pPr>
            <w:r>
              <w:rPr>
                <w:rFonts w:ascii="宋体" w:hAnsi="宋体"/>
              </w:rPr>
              <w:t>1) 合同签订后</w:t>
            </w:r>
            <w:r>
              <w:rPr>
                <w:rFonts w:hint="eastAsia" w:ascii="宋体" w:hAnsi="宋体"/>
              </w:rPr>
              <w:t>1个月内由乙方提供图纸，并需由甲方签字确认</w:t>
            </w:r>
            <w:r>
              <w:rPr>
                <w:rFonts w:ascii="宋体" w:hAnsi="宋体"/>
              </w:rPr>
              <w:t>；</w:t>
            </w:r>
            <w:r>
              <w:rPr>
                <w:rFonts w:ascii="宋体" w:hAnsi="宋体"/>
              </w:rPr>
              <w:br w:type="textWrapping"/>
            </w:r>
            <w:r>
              <w:rPr>
                <w:rFonts w:ascii="宋体" w:hAnsi="宋体"/>
              </w:rPr>
              <w:t xml:space="preserve">2) </w:t>
            </w:r>
            <w:r>
              <w:rPr>
                <w:rFonts w:hint="eastAsia" w:ascii="宋体" w:hAnsi="宋体"/>
              </w:rPr>
              <w:t>图纸确认后6个月内完成产品加工；</w:t>
            </w:r>
            <w:r>
              <w:rPr>
                <w:rFonts w:ascii="宋体" w:hAnsi="宋体"/>
              </w:rPr>
              <w:br w:type="textWrapping"/>
            </w:r>
            <w:r>
              <w:rPr>
                <w:rFonts w:ascii="宋体" w:hAnsi="宋体"/>
              </w:rPr>
              <w:t>3) 发货前提供出厂检验/测试报告；</w:t>
            </w:r>
            <w:r>
              <w:rPr>
                <w:rFonts w:ascii="宋体" w:hAnsi="宋体"/>
              </w:rPr>
              <w:br w:type="textWrapping"/>
            </w:r>
            <w:r>
              <w:rPr>
                <w:rFonts w:ascii="宋体" w:hAnsi="宋体"/>
              </w:rPr>
              <w:t>4) 到货后完成开箱验收、安装指导/调试支持及使用培训。</w:t>
            </w:r>
          </w:p>
          <w:p w14:paraId="30672EC2">
            <w:pPr>
              <w:tabs>
                <w:tab w:val="left" w:pos="6915"/>
              </w:tabs>
              <w:jc w:val="left"/>
              <w:rPr>
                <w:rFonts w:ascii="宋体" w:hAnsi="宋体"/>
                <w:b/>
                <w:szCs w:val="21"/>
              </w:rPr>
            </w:pPr>
            <w:r>
              <w:rPr>
                <w:rFonts w:ascii="宋体" w:hAnsi="宋体"/>
                <w:b/>
                <w:szCs w:val="21"/>
              </w:rPr>
              <w:t>付款方式</w:t>
            </w:r>
            <w:r>
              <w:rPr>
                <w:rFonts w:hint="eastAsia" w:ascii="宋体" w:hAnsi="宋体"/>
                <w:b/>
                <w:szCs w:val="21"/>
              </w:rPr>
              <w:t>：</w:t>
            </w:r>
            <w:r>
              <w:rPr>
                <w:rFonts w:hint="eastAsia" w:ascii="宋体" w:hAnsi="宋体"/>
              </w:rPr>
              <w:t>双方</w:t>
            </w:r>
            <w:r>
              <w:rPr>
                <w:rFonts w:ascii="宋体" w:hAnsi="宋体"/>
              </w:rPr>
              <w:t>合同签订后预付</w:t>
            </w:r>
            <w:r>
              <w:rPr>
                <w:rFonts w:hint="eastAsia" w:ascii="宋体" w:hAnsi="宋体"/>
              </w:rPr>
              <w:t>40</w:t>
            </w:r>
            <w:r>
              <w:rPr>
                <w:rFonts w:ascii="宋体" w:hAnsi="宋体"/>
              </w:rPr>
              <w:t>%货款，</w:t>
            </w:r>
            <w:r>
              <w:rPr>
                <w:rFonts w:hint="eastAsia" w:ascii="宋体" w:hAnsi="宋体"/>
              </w:rPr>
              <w:t>6</w:t>
            </w:r>
            <w:r>
              <w:rPr>
                <w:rFonts w:ascii="宋体" w:hAnsi="宋体"/>
              </w:rPr>
              <w:t>0%尾款发货前付清。</w:t>
            </w:r>
          </w:p>
          <w:p w14:paraId="3364DAC1">
            <w:pPr>
              <w:tabs>
                <w:tab w:val="left" w:pos="6915"/>
              </w:tabs>
              <w:jc w:val="left"/>
              <w:rPr>
                <w:rFonts w:ascii="宋体" w:hAnsi="宋体"/>
                <w:b/>
                <w:szCs w:val="21"/>
              </w:rPr>
            </w:pPr>
            <w:r>
              <w:rPr>
                <w:rFonts w:hint="eastAsia" w:ascii="宋体" w:hAnsi="宋体"/>
                <w:b/>
                <w:szCs w:val="21"/>
              </w:rPr>
              <w:t>验收指标及验收要求：</w:t>
            </w:r>
            <w:r>
              <w:rPr>
                <w:rFonts w:hint="eastAsia" w:ascii="宋体" w:hAnsi="宋体"/>
              </w:rPr>
              <w:t>提供出厂合格证或者出厂测试报告</w:t>
            </w:r>
            <w:r>
              <w:rPr>
                <w:rFonts w:ascii="宋体" w:hAnsi="宋体"/>
              </w:rPr>
              <w:t>。</w:t>
            </w:r>
          </w:p>
          <w:p w14:paraId="52B349ED">
            <w:pPr>
              <w:tabs>
                <w:tab w:val="left" w:pos="6915"/>
              </w:tabs>
              <w:jc w:val="left"/>
              <w:rPr>
                <w:rFonts w:ascii="宋体" w:hAnsi="宋体"/>
                <w:b/>
                <w:szCs w:val="21"/>
              </w:rPr>
            </w:pPr>
            <w:r>
              <w:rPr>
                <w:rFonts w:hint="eastAsia" w:ascii="宋体" w:hAnsi="宋体"/>
                <w:b/>
                <w:szCs w:val="21"/>
              </w:rPr>
              <w:t>阶段</w:t>
            </w:r>
            <w:r>
              <w:rPr>
                <w:rFonts w:ascii="宋体" w:hAnsi="宋体"/>
                <w:b/>
                <w:szCs w:val="21"/>
              </w:rPr>
              <w:t>性检查要求</w:t>
            </w:r>
            <w:r>
              <w:rPr>
                <w:rFonts w:hint="eastAsia" w:ascii="宋体" w:hAnsi="宋体"/>
                <w:b/>
                <w:szCs w:val="21"/>
              </w:rPr>
              <w:t>：</w:t>
            </w:r>
          </w:p>
          <w:p w14:paraId="6D36D77A">
            <w:pPr>
              <w:tabs>
                <w:tab w:val="left" w:pos="6915"/>
              </w:tabs>
              <w:ind w:left="420" w:leftChars="200"/>
              <w:jc w:val="left"/>
              <w:rPr>
                <w:rFonts w:ascii="宋体" w:hAnsi="宋体"/>
                <w:b/>
                <w:szCs w:val="21"/>
              </w:rPr>
            </w:pPr>
            <w:r>
              <w:rPr>
                <w:rFonts w:ascii="宋体" w:hAnsi="宋体"/>
              </w:rPr>
              <w:t>1) 图纸/接口尺寸确认；</w:t>
            </w:r>
            <w:r>
              <w:rPr>
                <w:rFonts w:ascii="宋体" w:hAnsi="宋体"/>
              </w:rPr>
              <w:br w:type="textWrapping"/>
            </w:r>
            <w:r>
              <w:rPr>
                <w:rFonts w:ascii="宋体" w:hAnsi="宋体"/>
              </w:rPr>
              <w:t>2) 出厂前阶段性检查：关键部件装配、漏检与功能测试记录；</w:t>
            </w:r>
            <w:r>
              <w:rPr>
                <w:rFonts w:ascii="宋体" w:hAnsi="宋体"/>
              </w:rPr>
              <w:br w:type="textWrapping"/>
            </w:r>
            <w:r>
              <w:rPr>
                <w:rFonts w:ascii="宋体" w:hAnsi="宋体"/>
              </w:rPr>
              <w:t>3) 发货前可进行远程或现场预验收。</w:t>
            </w:r>
          </w:p>
          <w:p w14:paraId="6A079E81">
            <w:pPr>
              <w:tabs>
                <w:tab w:val="left" w:pos="6915"/>
              </w:tabs>
              <w:jc w:val="left"/>
              <w:rPr>
                <w:rFonts w:hint="eastAsia" w:ascii="宋体" w:hAnsi="宋体" w:eastAsia="宋体" w:cs="宋体"/>
                <w:bCs/>
                <w:szCs w:val="21"/>
              </w:rPr>
            </w:pPr>
            <w:r>
              <w:rPr>
                <w:rFonts w:hint="eastAsia" w:ascii="宋体" w:hAnsi="宋体"/>
                <w:b/>
                <w:szCs w:val="21"/>
              </w:rPr>
              <w:t>保修</w:t>
            </w:r>
            <w:r>
              <w:rPr>
                <w:rFonts w:ascii="宋体" w:hAnsi="宋体"/>
                <w:b/>
                <w:szCs w:val="21"/>
              </w:rPr>
              <w:t>及售后服务</w:t>
            </w:r>
            <w:r>
              <w:rPr>
                <w:rFonts w:hint="eastAsia" w:ascii="宋体" w:hAnsi="宋体"/>
                <w:b/>
                <w:szCs w:val="21"/>
              </w:rPr>
              <w:t>：</w:t>
            </w:r>
            <w:r>
              <w:rPr>
                <w:rFonts w:hint="eastAsia" w:ascii="宋体" w:hAnsi="宋体"/>
              </w:rPr>
              <w:t>乙方对其所提供设备的免费保修期为12个月</w:t>
            </w:r>
            <w:r>
              <w:rPr>
                <w:rFonts w:ascii="宋体" w:hAnsi="宋体"/>
              </w:rPr>
              <w:t>。</w:t>
            </w:r>
            <w:r>
              <w:rPr>
                <w:rFonts w:hint="eastAsia" w:ascii="宋体" w:hAnsi="宋体"/>
              </w:rPr>
              <w:t>质保期内，非认为故障所需更换的零部件，不另外收取人工费和差旅费。</w:t>
            </w:r>
            <w:bookmarkStart w:id="1" w:name="_GoBack"/>
            <w:bookmarkEnd w:id="1"/>
          </w:p>
        </w:tc>
        <w:tc>
          <w:tcPr>
            <w:tcW w:w="1403" w:type="dxa"/>
            <w:vAlign w:val="center"/>
          </w:tcPr>
          <w:p w14:paraId="324B1D27">
            <w:pPr>
              <w:spacing w:line="240" w:lineRule="atLeast"/>
              <w:jc w:val="center"/>
            </w:pPr>
          </w:p>
        </w:tc>
        <w:tc>
          <w:tcPr>
            <w:tcW w:w="1041"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1303"/>
    <w:rsid w:val="001548E0"/>
    <w:rsid w:val="00180627"/>
    <w:rsid w:val="001B219D"/>
    <w:rsid w:val="001D3367"/>
    <w:rsid w:val="001E2CE3"/>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31AA5"/>
    <w:rsid w:val="00E5012E"/>
    <w:rsid w:val="00E762FD"/>
    <w:rsid w:val="00E930C8"/>
    <w:rsid w:val="00EA412A"/>
    <w:rsid w:val="00EA6BA9"/>
    <w:rsid w:val="00EB6224"/>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7416EBF"/>
    <w:rsid w:val="093C12EB"/>
    <w:rsid w:val="0EB47357"/>
    <w:rsid w:val="24FF7627"/>
    <w:rsid w:val="251E174D"/>
    <w:rsid w:val="2D070EC5"/>
    <w:rsid w:val="40512489"/>
    <w:rsid w:val="468B21C7"/>
    <w:rsid w:val="46BF17AE"/>
    <w:rsid w:val="47494CC3"/>
    <w:rsid w:val="48EB0E6F"/>
    <w:rsid w:val="58533025"/>
    <w:rsid w:val="5DC766F2"/>
    <w:rsid w:val="64331764"/>
    <w:rsid w:val="688F7F0D"/>
    <w:rsid w:val="6DA20D7D"/>
    <w:rsid w:val="70E72ABF"/>
    <w:rsid w:val="79B03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1278</Words>
  <Characters>1418</Characters>
  <Lines>11</Lines>
  <Paragraphs>3</Paragraphs>
  <TotalTime>1</TotalTime>
  <ScaleCrop>false</ScaleCrop>
  <LinksUpToDate>false</LinksUpToDate>
  <CharactersWithSpaces>1458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2026-04-14T09:49:33Z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