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909"/>
        <w:gridCol w:w="6341"/>
        <w:gridCol w:w="1417"/>
        <w:gridCol w:w="884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547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90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634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7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884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</w:trPr>
        <w:tc>
          <w:tcPr>
            <w:tcW w:w="547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0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束损传感器</w:t>
            </w:r>
          </w:p>
        </w:tc>
        <w:tc>
          <w:tcPr>
            <w:tcW w:w="634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7B00634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1）闪烁体传感器8套：每套包含闪烁体一个，光电倍增管一个，以及屏蔽外壳。</w:t>
            </w:r>
          </w:p>
          <w:p w14:paraId="1E107E77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性能参数：（a）闪烁体：上升时间≤1ns，渡越时间≤3ns，发射峰值波长与PMT匹配，范围380nm-420nm；闪烁体外包裹高反射率铝箔；探头引出信号接口直连板卡，要求通用标准接口,同时支持偏压增益调节，电压精度≤0.5%，要求通用接口；探头外有约3mm厚铅外壳，以屏蔽同步辐射光干扰和降低辐射损伤、同时不会对闪烁体灵敏度造成过大影响。（b）光电倍增管：光阴极面区域适宜安装需求，波长范围230nm~700nm，峰值灵敏度波长400nm，阴极亮度灵敏度典型值≥100uA/lm，阳极亮度灵敏度典型值≥200A/lm，阳极暗电流（30分钟后）≤100nA，纹波噪声（峰间）最大值0.2mv，响应时间≤0.6ns。（c）闪烁体与PMT之间涂抹硅脂，保证良好导光性；整体响应时间≤8ns。</w:t>
            </w:r>
          </w:p>
          <w:p w14:paraId="4F57DBEF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2）光纤束损传感器：4根130米长切伦科夫光纤，8个光纤适配器、8个光电倍增管、8个放大器，8通道光纤束损前端控制模块1个。</w:t>
            </w:r>
          </w:p>
          <w:p w14:paraId="75C3042E">
            <w:pPr>
              <w:tabs>
                <w:tab w:val="left" w:pos="6915"/>
              </w:tabs>
              <w:jc w:val="left"/>
              <w:rPr>
                <w:rFonts w:hint="eastAsia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性能参数：（a）切伦科夫光纤：阶跃型多模光纤,纤芯为石英SiO2，芯径≥600μm，光纤波长范围能传输切伦科夫光，工作温度包含-20℃~70℃，弯曲半径短期大于150倍包层直径，长期大于300倍包层直径，筛选张力大于80kpsi；（b）光纤适配器：用于适配光电倍增管，导光性良好；（c）光电倍增管：光阴极面区域适宜安装需求，波长范围230nm~700nm，峰值灵敏度波长400nm，阴极亮度灵敏度典型值≥100uA/lm，阳极亮度灵敏度典型值≥200A/lm，阳极暗电流（30分钟后）≤100nA，纹波噪声（峰间）最大值0.2mv，响应时间≤0.6ns；（d）放大器：带宽DC-150MHz，跨阻放大倍数50-4000倍，上升沿小于3ns；（e）光纤束损前端控制模块：8通道5V电源给PMT供电，8通道电压独立可调，范围0.6V~1.1V，电压精度≤0.5%，供每一路光纤探测器所连接的PMT偏压增益。</w:t>
            </w:r>
          </w:p>
        </w:tc>
        <w:tc>
          <w:tcPr>
            <w:tcW w:w="1417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884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47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6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ED465">
            <w:p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合同签订后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个月内</w:t>
            </w:r>
            <w:r>
              <w:rPr>
                <w:rFonts w:hint="eastAsia"/>
                <w:szCs w:val="21"/>
              </w:rPr>
              <w:t>将货物送达至甲方指定地点</w:t>
            </w:r>
            <w:r>
              <w:rPr>
                <w:rFonts w:hint="eastAsia"/>
                <w:szCs w:val="21"/>
                <w:lang w:eastAsia="zh-CN"/>
              </w:rPr>
              <w:t>。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合同签订后付款20%，货到验收后凭发票报销时付尾款。</w:t>
            </w:r>
          </w:p>
          <w:p w14:paraId="6FEDB37B">
            <w:pPr>
              <w:tabs>
                <w:tab w:val="left" w:pos="6915"/>
              </w:tabs>
              <w:jc w:val="left"/>
              <w:rPr>
                <w:rFonts w:hint="default" w:ascii="宋体" w:hAnsi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按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厂家出厂合格证作为验收依据。</w:t>
            </w:r>
          </w:p>
          <w:p w14:paraId="056B5FC2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产品质保期为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  <w:u w:val="single"/>
                <w:lang w:val="en-US" w:eastAsia="zh-CN"/>
              </w:rPr>
              <w:t>12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个月，时间自验收合格之日起计算，或者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按厂家国家通常三包质保和售后，以两个时间中更长的时间质保。</w:t>
            </w:r>
            <w:bookmarkStart w:id="0" w:name="_GoBack"/>
            <w:bookmarkEnd w:id="0"/>
          </w:p>
        </w:tc>
        <w:tc>
          <w:tcPr>
            <w:tcW w:w="1417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884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2159F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8417E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4DF1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DD31A7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B6FCA"/>
    <w:rsid w:val="093C12EB"/>
    <w:rsid w:val="0EB47357"/>
    <w:rsid w:val="2D070EC5"/>
    <w:rsid w:val="3D9056D9"/>
    <w:rsid w:val="468B21C7"/>
    <w:rsid w:val="46BF17AE"/>
    <w:rsid w:val="48EB0E6F"/>
    <w:rsid w:val="56D823E4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2281</Words>
  <Characters>2474</Characters>
  <Lines>19</Lines>
  <Paragraphs>5</Paragraphs>
  <TotalTime>0</TotalTime>
  <ScaleCrop>false</ScaleCrop>
  <LinksUpToDate>false</LinksUpToDate>
  <CharactersWithSpaces>2545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2026-01-09T08:29:08Z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