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9AC448">
      <w:pPr>
        <w:jc w:val="center"/>
        <w:rPr>
          <w:sz w:val="36"/>
        </w:rPr>
      </w:pPr>
      <w:r>
        <w:rPr>
          <w:sz w:val="36"/>
        </w:rPr>
        <w:t>中国科学技术大学国家同步辐射实验室</w:t>
      </w:r>
    </w:p>
    <w:p w14:paraId="4BED1386">
      <w:pPr>
        <w:jc w:val="center"/>
      </w:pPr>
      <w:bookmarkStart w:id="3" w:name="_GoBack"/>
      <w:r>
        <w:rPr>
          <w:rFonts w:hint="eastAsia"/>
          <w:sz w:val="36"/>
        </w:rPr>
        <w:t>技术指标供应商确认表</w:t>
      </w:r>
      <w:bookmarkEnd w:id="3"/>
    </w:p>
    <w:tbl>
      <w:tblPr>
        <w:tblStyle w:val="3"/>
        <w:tblW w:w="9781"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1245"/>
        <w:gridCol w:w="5604"/>
        <w:gridCol w:w="1227"/>
        <w:gridCol w:w="1000"/>
      </w:tblGrid>
      <w:tr w14:paraId="0B802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705" w:type="dxa"/>
            <w:vAlign w:val="center"/>
          </w:tcPr>
          <w:p w14:paraId="08595080">
            <w:pPr>
              <w:spacing w:line="240" w:lineRule="atLeast"/>
              <w:jc w:val="center"/>
              <w:rPr>
                <w:sz w:val="24"/>
                <w:szCs w:val="24"/>
              </w:rPr>
            </w:pPr>
            <w:r>
              <w:rPr>
                <w:rFonts w:hint="eastAsia"/>
                <w:sz w:val="24"/>
                <w:szCs w:val="24"/>
              </w:rPr>
              <w:t>序号</w:t>
            </w:r>
          </w:p>
        </w:tc>
        <w:tc>
          <w:tcPr>
            <w:tcW w:w="1245" w:type="dxa"/>
            <w:vAlign w:val="center"/>
          </w:tcPr>
          <w:p w14:paraId="5D2BE5C9">
            <w:pPr>
              <w:spacing w:line="240" w:lineRule="atLeast"/>
              <w:jc w:val="center"/>
              <w:rPr>
                <w:sz w:val="24"/>
                <w:szCs w:val="24"/>
              </w:rPr>
            </w:pPr>
            <w:r>
              <w:rPr>
                <w:rFonts w:hint="eastAsia"/>
                <w:sz w:val="24"/>
                <w:szCs w:val="24"/>
              </w:rPr>
              <w:t>名称</w:t>
            </w:r>
          </w:p>
        </w:tc>
        <w:tc>
          <w:tcPr>
            <w:tcW w:w="5604" w:type="dxa"/>
            <w:vAlign w:val="center"/>
          </w:tcPr>
          <w:p w14:paraId="2D8488EE">
            <w:pPr>
              <w:spacing w:line="240" w:lineRule="atLeast"/>
              <w:jc w:val="center"/>
              <w:rPr>
                <w:sz w:val="24"/>
                <w:szCs w:val="24"/>
              </w:rPr>
            </w:pPr>
            <w:r>
              <w:rPr>
                <w:rFonts w:hint="eastAsia"/>
                <w:sz w:val="24"/>
                <w:szCs w:val="24"/>
              </w:rPr>
              <w:t>技术指标</w:t>
            </w:r>
          </w:p>
        </w:tc>
        <w:tc>
          <w:tcPr>
            <w:tcW w:w="1227" w:type="dxa"/>
            <w:vAlign w:val="center"/>
          </w:tcPr>
          <w:p w14:paraId="5FE1DE87">
            <w:pPr>
              <w:spacing w:line="240" w:lineRule="atLeast"/>
              <w:jc w:val="center"/>
              <w:rPr>
                <w:sz w:val="24"/>
                <w:szCs w:val="24"/>
              </w:rPr>
            </w:pPr>
            <w:r>
              <w:rPr>
                <w:rFonts w:hint="eastAsia"/>
                <w:sz w:val="24"/>
                <w:szCs w:val="24"/>
              </w:rPr>
              <w:t>偏离说明</w:t>
            </w:r>
          </w:p>
          <w:p w14:paraId="2F0BEEB9">
            <w:pPr>
              <w:spacing w:line="240" w:lineRule="atLeast"/>
              <w:jc w:val="center"/>
              <w:rPr>
                <w:sz w:val="24"/>
                <w:szCs w:val="24"/>
              </w:rPr>
            </w:pPr>
            <w:r>
              <w:rPr>
                <w:rFonts w:hint="eastAsia"/>
                <w:sz w:val="24"/>
                <w:szCs w:val="24"/>
              </w:rPr>
              <w:t>(</w:t>
            </w:r>
            <w:r>
              <w:rPr>
                <w:sz w:val="24"/>
                <w:szCs w:val="24"/>
              </w:rPr>
              <w:t>无偏离</w:t>
            </w:r>
            <w:r>
              <w:rPr>
                <w:rFonts w:hint="eastAsia"/>
                <w:sz w:val="24"/>
                <w:szCs w:val="24"/>
              </w:rPr>
              <w:t>/</w:t>
            </w:r>
            <w:r>
              <w:rPr>
                <w:sz w:val="24"/>
                <w:szCs w:val="24"/>
              </w:rPr>
              <w:t>正偏离</w:t>
            </w:r>
            <w:r>
              <w:rPr>
                <w:rFonts w:hint="eastAsia"/>
                <w:sz w:val="24"/>
                <w:szCs w:val="24"/>
              </w:rPr>
              <w:t>/</w:t>
            </w:r>
            <w:r>
              <w:rPr>
                <w:sz w:val="24"/>
                <w:szCs w:val="24"/>
              </w:rPr>
              <w:t>负偏离</w:t>
            </w:r>
            <w:r>
              <w:rPr>
                <w:rFonts w:hint="eastAsia"/>
                <w:sz w:val="24"/>
                <w:szCs w:val="24"/>
              </w:rPr>
              <w:t>)</w:t>
            </w:r>
          </w:p>
        </w:tc>
        <w:tc>
          <w:tcPr>
            <w:tcW w:w="1000" w:type="dxa"/>
            <w:vAlign w:val="center"/>
          </w:tcPr>
          <w:p w14:paraId="226E9AE1">
            <w:pPr>
              <w:spacing w:line="240" w:lineRule="atLeast"/>
              <w:jc w:val="center"/>
              <w:rPr>
                <w:sz w:val="24"/>
                <w:szCs w:val="24"/>
              </w:rPr>
            </w:pPr>
            <w:r>
              <w:rPr>
                <w:rFonts w:hint="eastAsia"/>
                <w:sz w:val="24"/>
                <w:szCs w:val="24"/>
              </w:rPr>
              <w:t>偏离值</w:t>
            </w:r>
          </w:p>
        </w:tc>
      </w:tr>
      <w:tr w14:paraId="146FE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05" w:type="dxa"/>
            <w:vAlign w:val="center"/>
          </w:tcPr>
          <w:p w14:paraId="4B4929B2">
            <w:pPr>
              <w:spacing w:line="240" w:lineRule="atLeast"/>
              <w:jc w:val="center"/>
              <w:rPr>
                <w:sz w:val="24"/>
                <w:szCs w:val="24"/>
              </w:rPr>
            </w:pPr>
            <w:r>
              <w:rPr>
                <w:rFonts w:hint="eastAsia"/>
                <w:sz w:val="24"/>
                <w:szCs w:val="24"/>
              </w:rPr>
              <w:t>1</w:t>
            </w:r>
          </w:p>
        </w:tc>
        <w:tc>
          <w:tcPr>
            <w:tcW w:w="1245" w:type="dxa"/>
            <w:tcBorders>
              <w:top w:val="single" w:color="auto" w:sz="4" w:space="0"/>
              <w:left w:val="single" w:color="auto" w:sz="4" w:space="0"/>
              <w:right w:val="single" w:color="auto" w:sz="4" w:space="0"/>
            </w:tcBorders>
            <w:shd w:val="clear" w:color="auto" w:fill="auto"/>
            <w:vAlign w:val="center"/>
          </w:tcPr>
          <w:p w14:paraId="4EF55EAC">
            <w:pPr>
              <w:widowControl/>
              <w:spacing w:line="240" w:lineRule="atLeast"/>
              <w:jc w:val="center"/>
              <w:rPr>
                <w:rFonts w:hint="default" w:ascii="Times New Roman" w:hAnsi="Times New Roman" w:cs="Times New Roman"/>
                <w:bCs/>
                <w:sz w:val="24"/>
                <w:szCs w:val="28"/>
              </w:rPr>
            </w:pPr>
            <w:r>
              <w:rPr>
                <w:rFonts w:hint="default" w:ascii="Times New Roman" w:hAnsi="Times New Roman" w:cs="Times New Roman"/>
                <w:bCs/>
                <w:sz w:val="24"/>
                <w:szCs w:val="28"/>
              </w:rPr>
              <w:t>BPM电子读出系统</w:t>
            </w:r>
          </w:p>
          <w:p w14:paraId="1D4BF417">
            <w:pPr>
              <w:widowControl/>
              <w:spacing w:line="240" w:lineRule="atLeast"/>
              <w:jc w:val="center"/>
              <w:rPr>
                <w:rFonts w:hint="eastAsia" w:ascii="Times New Roman" w:hAnsi="Times New Roman" w:cs="Times New Roman" w:eastAsiaTheme="minorEastAsia"/>
                <w:bCs/>
                <w:sz w:val="24"/>
                <w:szCs w:val="28"/>
                <w:lang w:eastAsia="zh-CN"/>
              </w:rPr>
            </w:pPr>
            <w:r>
              <w:rPr>
                <w:rFonts w:hint="eastAsia" w:ascii="Times New Roman" w:hAnsi="Times New Roman" w:cs="Times New Roman"/>
                <w:bCs/>
                <w:sz w:val="24"/>
                <w:szCs w:val="28"/>
                <w:lang w:eastAsia="zh-CN"/>
              </w:rPr>
              <w:t>（</w:t>
            </w:r>
            <w:r>
              <w:rPr>
                <w:rFonts w:hint="default" w:ascii="Times New Roman" w:hAnsi="Times New Roman" w:cs="Times New Roman"/>
                <w:b w:val="0"/>
                <w:bCs/>
                <w:sz w:val="24"/>
                <w:szCs w:val="24"/>
                <w:lang w:val="en-US" w:eastAsia="zh-CN"/>
              </w:rPr>
              <w:t>5套</w:t>
            </w:r>
            <w:r>
              <w:rPr>
                <w:rFonts w:hint="eastAsia" w:ascii="Times New Roman" w:hAnsi="Times New Roman" w:cs="Times New Roman"/>
                <w:b w:val="0"/>
                <w:bCs/>
                <w:sz w:val="24"/>
                <w:szCs w:val="24"/>
                <w:lang w:val="en-US" w:eastAsia="zh-CN"/>
              </w:rPr>
              <w:t>）</w:t>
            </w:r>
          </w:p>
        </w:tc>
        <w:tc>
          <w:tcPr>
            <w:tcW w:w="5604" w:type="dxa"/>
            <w:vAlign w:val="center"/>
          </w:tcPr>
          <w:p w14:paraId="5AB94AC5">
            <w:pPr>
              <w:keepNext w:val="0"/>
              <w:keepLines w:val="0"/>
              <w:pageBreakBefore w:val="0"/>
              <w:tabs>
                <w:tab w:val="left" w:pos="6915"/>
              </w:tabs>
              <w:kinsoku/>
              <w:wordWrap/>
              <w:overflowPunct/>
              <w:topLinePunct w:val="0"/>
              <w:autoSpaceDE/>
              <w:autoSpaceDN/>
              <w:bidi w:val="0"/>
              <w:adjustRightInd w:val="0"/>
              <w:snapToGrid w:val="0"/>
              <w:spacing w:line="300" w:lineRule="auto"/>
              <w:jc w:val="left"/>
              <w:textAlignment w:val="auto"/>
              <w:rPr>
                <w:rFonts w:hint="default" w:ascii="Times New Roman" w:hAnsi="Times New Roman" w:cs="Times New Roman"/>
                <w:b/>
                <w:sz w:val="24"/>
                <w:szCs w:val="24"/>
              </w:rPr>
            </w:pPr>
            <w:r>
              <w:rPr>
                <w:rFonts w:hint="default" w:ascii="Times New Roman" w:hAnsi="Times New Roman" w:cs="Times New Roman"/>
                <w:b/>
                <w:sz w:val="24"/>
                <w:szCs w:val="24"/>
              </w:rPr>
              <w:t>规格和技术参数：</w:t>
            </w:r>
          </w:p>
          <w:p w14:paraId="083D7F13">
            <w:pPr>
              <w:keepNext w:val="0"/>
              <w:keepLines w:val="0"/>
              <w:pageBreakBefore w:val="0"/>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bCs/>
                <w:sz w:val="24"/>
                <w:szCs w:val="28"/>
              </w:rPr>
            </w:pPr>
            <w:r>
              <w:rPr>
                <w:rFonts w:hint="default" w:ascii="Times New Roman" w:hAnsi="Times New Roman" w:cs="Times New Roman"/>
                <w:bCs/>
                <w:sz w:val="24"/>
                <w:szCs w:val="28"/>
              </w:rPr>
              <w:t>BPM电子读出系统用于对合肥光源光束线上光位置探测器产生的弱电流进行检测，转换成光束位置信号。每套设备的硬件集成在一个小机箱中，主要包括电源、通讯控制、放大器、接口板、ADC模块等。</w:t>
            </w:r>
          </w:p>
          <w:p w14:paraId="46B7A112">
            <w:pPr>
              <w:keepNext w:val="0"/>
              <w:keepLines w:val="0"/>
              <w:pageBreakBefore w:val="0"/>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bCs/>
                <w:sz w:val="24"/>
                <w:szCs w:val="28"/>
              </w:rPr>
            </w:pPr>
            <w:r>
              <w:rPr>
                <w:rFonts w:hint="default" w:ascii="Times New Roman" w:hAnsi="Times New Roman" w:cs="Times New Roman"/>
                <w:bCs/>
                <w:sz w:val="24"/>
                <w:szCs w:val="28"/>
              </w:rPr>
              <w:t>每套系统具体参数指标要求如下：</w:t>
            </w:r>
          </w:p>
          <w:p w14:paraId="67D2795E">
            <w:pPr>
              <w:keepNext w:val="0"/>
              <w:keepLines w:val="0"/>
              <w:pageBreakBefore w:val="0"/>
              <w:widowControl/>
              <w:numPr>
                <w:ilvl w:val="0"/>
                <w:numId w:val="1"/>
              </w:numPr>
              <w:kinsoku/>
              <w:wordWrap/>
              <w:overflowPunct/>
              <w:topLinePunct w:val="0"/>
              <w:autoSpaceDE/>
              <w:autoSpaceDN/>
              <w:bidi w:val="0"/>
              <w:adjustRightInd/>
              <w:snapToGrid w:val="0"/>
              <w:spacing w:line="300" w:lineRule="auto"/>
              <w:ind w:left="420" w:leftChars="0"/>
              <w:jc w:val="left"/>
              <w:textAlignment w:val="auto"/>
              <w:rPr>
                <w:rFonts w:hint="default" w:ascii="Times New Roman" w:hAnsi="Times New Roman" w:cs="Times New Roman"/>
                <w:bCs/>
                <w:sz w:val="24"/>
                <w:szCs w:val="28"/>
              </w:rPr>
            </w:pPr>
            <w:r>
              <w:rPr>
                <w:rFonts w:hint="default" w:ascii="Times New Roman" w:hAnsi="Times New Roman" w:cs="Times New Roman"/>
                <w:bCs/>
                <w:sz w:val="24"/>
                <w:szCs w:val="28"/>
              </w:rPr>
              <w:t>四个独立的I-V转换通道</w:t>
            </w:r>
          </w:p>
          <w:p w14:paraId="1086F639">
            <w:pPr>
              <w:keepNext w:val="0"/>
              <w:keepLines w:val="0"/>
              <w:pageBreakBefore w:val="0"/>
              <w:widowControl/>
              <w:numPr>
                <w:ilvl w:val="0"/>
                <w:numId w:val="1"/>
              </w:numPr>
              <w:kinsoku/>
              <w:wordWrap/>
              <w:overflowPunct/>
              <w:topLinePunct w:val="0"/>
              <w:autoSpaceDE/>
              <w:autoSpaceDN/>
              <w:bidi w:val="0"/>
              <w:adjustRightInd/>
              <w:snapToGrid w:val="0"/>
              <w:spacing w:line="300" w:lineRule="auto"/>
              <w:ind w:left="420" w:leftChars="0"/>
              <w:jc w:val="left"/>
              <w:textAlignment w:val="auto"/>
              <w:rPr>
                <w:rFonts w:hint="default" w:ascii="Times New Roman" w:hAnsi="Times New Roman" w:cs="Times New Roman"/>
                <w:bCs/>
                <w:sz w:val="24"/>
                <w:szCs w:val="28"/>
              </w:rPr>
            </w:pPr>
            <w:bookmarkStart w:id="0" w:name="_Hlk217466370"/>
            <w:r>
              <w:rPr>
                <w:rFonts w:hint="default" w:ascii="Times New Roman" w:hAnsi="Times New Roman" w:cs="Times New Roman"/>
                <w:bCs/>
                <w:sz w:val="24"/>
                <w:szCs w:val="28"/>
              </w:rPr>
              <w:t>动态范围1nA至1mA，7档量程，每个量程线性范围-10V~+10V</w:t>
            </w:r>
          </w:p>
          <w:bookmarkEnd w:id="0"/>
          <w:p w14:paraId="24A0B1D7">
            <w:pPr>
              <w:keepNext w:val="0"/>
              <w:keepLines w:val="0"/>
              <w:pageBreakBefore w:val="0"/>
              <w:widowControl/>
              <w:numPr>
                <w:ilvl w:val="0"/>
                <w:numId w:val="1"/>
              </w:numPr>
              <w:kinsoku/>
              <w:wordWrap/>
              <w:overflowPunct/>
              <w:topLinePunct w:val="0"/>
              <w:autoSpaceDE/>
              <w:autoSpaceDN/>
              <w:bidi w:val="0"/>
              <w:adjustRightInd/>
              <w:snapToGrid w:val="0"/>
              <w:spacing w:line="300" w:lineRule="auto"/>
              <w:ind w:left="420" w:leftChars="0"/>
              <w:jc w:val="left"/>
              <w:textAlignment w:val="auto"/>
              <w:rPr>
                <w:rFonts w:hint="default" w:ascii="Times New Roman" w:hAnsi="Times New Roman" w:cs="Times New Roman"/>
                <w:bCs/>
                <w:sz w:val="24"/>
                <w:szCs w:val="28"/>
              </w:rPr>
            </w:pPr>
            <w:r>
              <w:rPr>
                <w:rFonts w:hint="default" w:ascii="Times New Roman" w:hAnsi="Times New Roman" w:cs="Times New Roman"/>
                <w:bCs/>
                <w:sz w:val="24"/>
                <w:szCs w:val="28"/>
              </w:rPr>
              <w:t>模拟带宽40kHz，采样率250kHz，采样分辨率24Bit，输入本底噪声:&lt;10μVpp</w:t>
            </w:r>
          </w:p>
          <w:p w14:paraId="43D3435F">
            <w:pPr>
              <w:keepNext w:val="0"/>
              <w:keepLines w:val="0"/>
              <w:pageBreakBefore w:val="0"/>
              <w:widowControl/>
              <w:numPr>
                <w:ilvl w:val="0"/>
                <w:numId w:val="1"/>
              </w:numPr>
              <w:kinsoku/>
              <w:wordWrap/>
              <w:overflowPunct/>
              <w:topLinePunct w:val="0"/>
              <w:autoSpaceDE/>
              <w:autoSpaceDN/>
              <w:bidi w:val="0"/>
              <w:adjustRightInd/>
              <w:snapToGrid w:val="0"/>
              <w:spacing w:line="300" w:lineRule="auto"/>
              <w:ind w:left="420" w:leftChars="0"/>
              <w:jc w:val="left"/>
              <w:textAlignment w:val="auto"/>
              <w:rPr>
                <w:rFonts w:hint="default" w:ascii="Times New Roman" w:hAnsi="Times New Roman" w:cs="Times New Roman"/>
                <w:bCs/>
                <w:sz w:val="24"/>
                <w:szCs w:val="28"/>
              </w:rPr>
            </w:pPr>
            <w:r>
              <w:rPr>
                <w:rFonts w:hint="default" w:ascii="Times New Roman" w:hAnsi="Times New Roman" w:cs="Times New Roman"/>
                <w:bCs/>
                <w:sz w:val="24"/>
                <w:szCs w:val="28"/>
              </w:rPr>
              <w:t>输入阻抗小于等于40Ω</w:t>
            </w:r>
          </w:p>
          <w:p w14:paraId="1ACC6B2E">
            <w:pPr>
              <w:keepNext w:val="0"/>
              <w:keepLines w:val="0"/>
              <w:pageBreakBefore w:val="0"/>
              <w:widowControl/>
              <w:numPr>
                <w:ilvl w:val="0"/>
                <w:numId w:val="1"/>
              </w:numPr>
              <w:kinsoku/>
              <w:wordWrap/>
              <w:overflowPunct/>
              <w:topLinePunct w:val="0"/>
              <w:autoSpaceDE/>
              <w:autoSpaceDN/>
              <w:bidi w:val="0"/>
              <w:adjustRightInd/>
              <w:snapToGrid w:val="0"/>
              <w:spacing w:line="300" w:lineRule="auto"/>
              <w:ind w:left="420" w:leftChars="0"/>
              <w:jc w:val="left"/>
              <w:textAlignment w:val="auto"/>
              <w:rPr>
                <w:rFonts w:hint="default" w:ascii="Times New Roman" w:hAnsi="Times New Roman" w:cs="Times New Roman"/>
                <w:bCs/>
                <w:sz w:val="24"/>
                <w:szCs w:val="28"/>
              </w:rPr>
            </w:pPr>
            <w:r>
              <w:rPr>
                <w:rFonts w:hint="default" w:ascii="Times New Roman" w:hAnsi="Times New Roman" w:cs="Times New Roman"/>
                <w:bCs/>
                <w:sz w:val="24"/>
                <w:szCs w:val="28"/>
              </w:rPr>
              <w:t>监控输出：用于伺服和监视器输出，监控四通道输入电流或者监控二维光斑位置</w:t>
            </w:r>
          </w:p>
          <w:p w14:paraId="2F388B1E">
            <w:pPr>
              <w:pStyle w:val="5"/>
              <w:keepNext w:val="0"/>
              <w:keepLines w:val="0"/>
              <w:pageBreakBefore w:val="0"/>
              <w:widowControl/>
              <w:numPr>
                <w:ilvl w:val="3"/>
                <w:numId w:val="1"/>
              </w:numPr>
              <w:kinsoku/>
              <w:wordWrap/>
              <w:overflowPunct/>
              <w:topLinePunct w:val="0"/>
              <w:autoSpaceDE/>
              <w:autoSpaceDN/>
              <w:bidi w:val="0"/>
              <w:adjustRightInd/>
              <w:snapToGrid w:val="0"/>
              <w:spacing w:line="300" w:lineRule="auto"/>
              <w:ind w:left="1680" w:leftChars="0" w:firstLineChars="0"/>
              <w:jc w:val="left"/>
              <w:textAlignment w:val="auto"/>
              <w:rPr>
                <w:rFonts w:hint="default" w:ascii="Times New Roman" w:hAnsi="Times New Roman" w:cs="Times New Roman"/>
                <w:bCs/>
                <w:sz w:val="24"/>
                <w:szCs w:val="28"/>
              </w:rPr>
            </w:pPr>
            <w:r>
              <w:rPr>
                <w:rFonts w:hint="default" w:ascii="Times New Roman" w:hAnsi="Times New Roman" w:cs="Times New Roman"/>
                <w:bCs/>
                <w:sz w:val="24"/>
                <w:szCs w:val="28"/>
              </w:rPr>
              <w:t>四路DAC，24位，±10V;</w:t>
            </w:r>
          </w:p>
          <w:p w14:paraId="273DDBB6">
            <w:pPr>
              <w:pStyle w:val="5"/>
              <w:keepNext w:val="0"/>
              <w:keepLines w:val="0"/>
              <w:pageBreakBefore w:val="0"/>
              <w:widowControl/>
              <w:numPr>
                <w:ilvl w:val="3"/>
                <w:numId w:val="1"/>
              </w:numPr>
              <w:kinsoku/>
              <w:wordWrap/>
              <w:overflowPunct/>
              <w:topLinePunct w:val="0"/>
              <w:autoSpaceDE/>
              <w:autoSpaceDN/>
              <w:bidi w:val="0"/>
              <w:adjustRightInd/>
              <w:snapToGrid w:val="0"/>
              <w:spacing w:line="300" w:lineRule="auto"/>
              <w:ind w:left="1680" w:leftChars="0" w:firstLineChars="0"/>
              <w:jc w:val="left"/>
              <w:textAlignment w:val="auto"/>
              <w:rPr>
                <w:rFonts w:hint="default" w:ascii="Times New Roman" w:hAnsi="Times New Roman" w:cs="Times New Roman"/>
                <w:bCs/>
                <w:sz w:val="24"/>
                <w:szCs w:val="28"/>
              </w:rPr>
            </w:pPr>
            <w:r>
              <w:rPr>
                <w:rFonts w:hint="default" w:ascii="Times New Roman" w:hAnsi="Times New Roman" w:cs="Times New Roman"/>
                <w:bCs/>
                <w:sz w:val="24"/>
                <w:szCs w:val="28"/>
              </w:rPr>
              <w:t>四路V-F，TTL，0~1MHz，±10V;</w:t>
            </w:r>
          </w:p>
          <w:p w14:paraId="0B22987B">
            <w:pPr>
              <w:keepNext w:val="0"/>
              <w:keepLines w:val="0"/>
              <w:pageBreakBefore w:val="0"/>
              <w:widowControl/>
              <w:numPr>
                <w:ilvl w:val="0"/>
                <w:numId w:val="1"/>
              </w:numPr>
              <w:kinsoku/>
              <w:wordWrap/>
              <w:overflowPunct/>
              <w:topLinePunct w:val="0"/>
              <w:autoSpaceDE/>
              <w:autoSpaceDN/>
              <w:bidi w:val="0"/>
              <w:adjustRightInd/>
              <w:snapToGrid w:val="0"/>
              <w:spacing w:line="300" w:lineRule="auto"/>
              <w:ind w:left="420" w:leftChars="0"/>
              <w:jc w:val="left"/>
              <w:textAlignment w:val="auto"/>
              <w:rPr>
                <w:rFonts w:hint="default" w:ascii="Times New Roman" w:hAnsi="Times New Roman" w:cs="Times New Roman"/>
                <w:bCs/>
                <w:sz w:val="24"/>
                <w:szCs w:val="28"/>
              </w:rPr>
            </w:pPr>
            <w:r>
              <w:rPr>
                <w:rFonts w:hint="default" w:ascii="Times New Roman" w:hAnsi="Times New Roman" w:cs="Times New Roman"/>
                <w:bCs/>
                <w:sz w:val="24"/>
                <w:szCs w:val="28"/>
              </w:rPr>
              <w:t>低压偏置电源：-20V ~ +20V/输出电流20mA （0.1V调节步长，纹波Vpp:1%）</w:t>
            </w:r>
          </w:p>
          <w:p w14:paraId="49406579">
            <w:pPr>
              <w:keepNext w:val="0"/>
              <w:keepLines w:val="0"/>
              <w:pageBreakBefore w:val="0"/>
              <w:widowControl/>
              <w:numPr>
                <w:ilvl w:val="0"/>
                <w:numId w:val="1"/>
              </w:numPr>
              <w:kinsoku/>
              <w:wordWrap/>
              <w:overflowPunct/>
              <w:topLinePunct w:val="0"/>
              <w:autoSpaceDE/>
              <w:autoSpaceDN/>
              <w:bidi w:val="0"/>
              <w:adjustRightInd/>
              <w:snapToGrid w:val="0"/>
              <w:spacing w:line="300" w:lineRule="auto"/>
              <w:ind w:left="420" w:leftChars="0"/>
              <w:jc w:val="left"/>
              <w:textAlignment w:val="auto"/>
              <w:rPr>
                <w:rFonts w:hint="default" w:ascii="Times New Roman" w:hAnsi="Times New Roman" w:cs="Times New Roman"/>
                <w:bCs/>
                <w:sz w:val="24"/>
                <w:szCs w:val="28"/>
              </w:rPr>
            </w:pPr>
            <w:r>
              <w:rPr>
                <w:rFonts w:hint="default" w:ascii="Times New Roman" w:hAnsi="Times New Roman" w:cs="Times New Roman"/>
                <w:bCs/>
                <w:sz w:val="24"/>
                <w:szCs w:val="28"/>
              </w:rPr>
              <w:t>高压偏置电源：-3kV ~ +3kV/输出电流5mA （1.0V调节步长，纹波Vpp:10%）</w:t>
            </w:r>
          </w:p>
          <w:p w14:paraId="4681B50A">
            <w:pPr>
              <w:keepNext w:val="0"/>
              <w:keepLines w:val="0"/>
              <w:pageBreakBefore w:val="0"/>
              <w:widowControl/>
              <w:numPr>
                <w:ilvl w:val="0"/>
                <w:numId w:val="1"/>
              </w:numPr>
              <w:kinsoku/>
              <w:wordWrap/>
              <w:overflowPunct/>
              <w:topLinePunct w:val="0"/>
              <w:autoSpaceDE/>
              <w:autoSpaceDN/>
              <w:bidi w:val="0"/>
              <w:adjustRightInd/>
              <w:snapToGrid w:val="0"/>
              <w:spacing w:line="300" w:lineRule="auto"/>
              <w:ind w:left="420" w:leftChars="0"/>
              <w:jc w:val="left"/>
              <w:textAlignment w:val="auto"/>
              <w:rPr>
                <w:rFonts w:hint="default" w:ascii="Times New Roman" w:hAnsi="Times New Roman" w:cs="Times New Roman"/>
                <w:bCs/>
                <w:sz w:val="24"/>
                <w:szCs w:val="28"/>
              </w:rPr>
            </w:pPr>
            <w:r>
              <w:rPr>
                <w:rFonts w:hint="default" w:ascii="Times New Roman" w:hAnsi="Times New Roman" w:cs="Times New Roman"/>
                <w:bCs/>
                <w:sz w:val="24"/>
                <w:szCs w:val="28"/>
              </w:rPr>
              <w:t>千兆以太网通讯接口</w:t>
            </w:r>
          </w:p>
          <w:p w14:paraId="790B118D">
            <w:pPr>
              <w:keepNext w:val="0"/>
              <w:keepLines w:val="0"/>
              <w:pageBreakBefore w:val="0"/>
              <w:widowControl/>
              <w:numPr>
                <w:ilvl w:val="0"/>
                <w:numId w:val="1"/>
              </w:numPr>
              <w:kinsoku/>
              <w:wordWrap/>
              <w:overflowPunct/>
              <w:topLinePunct w:val="0"/>
              <w:autoSpaceDE/>
              <w:autoSpaceDN/>
              <w:bidi w:val="0"/>
              <w:adjustRightInd/>
              <w:snapToGrid w:val="0"/>
              <w:spacing w:line="300" w:lineRule="auto"/>
              <w:ind w:left="420" w:leftChars="0"/>
              <w:jc w:val="left"/>
              <w:textAlignment w:val="auto"/>
              <w:rPr>
                <w:rFonts w:hint="default" w:ascii="Times New Roman" w:hAnsi="Times New Roman" w:cs="Times New Roman"/>
                <w:bCs/>
                <w:sz w:val="24"/>
                <w:szCs w:val="28"/>
              </w:rPr>
            </w:pPr>
            <w:bookmarkStart w:id="1" w:name="_Hlk217466278"/>
            <w:r>
              <w:rPr>
                <w:rFonts w:hint="default" w:ascii="Times New Roman" w:hAnsi="Times New Roman" w:cs="Times New Roman"/>
                <w:bCs/>
                <w:sz w:val="24"/>
                <w:szCs w:val="28"/>
              </w:rPr>
              <w:t>提供</w:t>
            </w:r>
            <w:bookmarkStart w:id="2" w:name="_Hlk217466485"/>
            <w:r>
              <w:rPr>
                <w:rFonts w:hint="default" w:ascii="Times New Roman" w:hAnsi="Times New Roman" w:cs="Times New Roman"/>
                <w:bCs/>
                <w:sz w:val="24"/>
                <w:szCs w:val="28"/>
              </w:rPr>
              <w:t>EPICS软件平台的IOC应用</w:t>
            </w:r>
            <w:bookmarkEnd w:id="2"/>
          </w:p>
          <w:bookmarkEnd w:id="1"/>
          <w:p w14:paraId="38AD5505">
            <w:pPr>
              <w:keepNext w:val="0"/>
              <w:keepLines w:val="0"/>
              <w:pageBreakBefore w:val="0"/>
              <w:widowControl/>
              <w:numPr>
                <w:ilvl w:val="0"/>
                <w:numId w:val="1"/>
              </w:numPr>
              <w:kinsoku/>
              <w:wordWrap/>
              <w:overflowPunct/>
              <w:topLinePunct w:val="0"/>
              <w:autoSpaceDE/>
              <w:autoSpaceDN/>
              <w:bidi w:val="0"/>
              <w:adjustRightInd/>
              <w:snapToGrid w:val="0"/>
              <w:spacing w:line="300" w:lineRule="auto"/>
              <w:ind w:left="420" w:leftChars="0"/>
              <w:jc w:val="left"/>
              <w:textAlignment w:val="auto"/>
              <w:rPr>
                <w:rFonts w:hint="default" w:ascii="Times New Roman" w:hAnsi="Times New Roman" w:cs="Times New Roman"/>
                <w:bCs/>
                <w:sz w:val="24"/>
                <w:szCs w:val="28"/>
              </w:rPr>
            </w:pPr>
            <w:r>
              <w:rPr>
                <w:rFonts w:hint="default" w:ascii="Times New Roman" w:hAnsi="Times New Roman" w:cs="Times New Roman"/>
                <w:bCs/>
                <w:sz w:val="24"/>
                <w:szCs w:val="28"/>
              </w:rPr>
              <w:t>触发（外触发、内触发）同步采样：同步精度&lt;100ns，触发频率&lt;100kHz</w:t>
            </w:r>
          </w:p>
          <w:p w14:paraId="6CA371F6">
            <w:pPr>
              <w:keepNext w:val="0"/>
              <w:keepLines w:val="0"/>
              <w:pageBreakBefore w:val="0"/>
              <w:widowControl/>
              <w:numPr>
                <w:ilvl w:val="0"/>
                <w:numId w:val="1"/>
              </w:numPr>
              <w:kinsoku/>
              <w:wordWrap/>
              <w:overflowPunct/>
              <w:topLinePunct w:val="0"/>
              <w:autoSpaceDE/>
              <w:autoSpaceDN/>
              <w:bidi w:val="0"/>
              <w:adjustRightInd/>
              <w:snapToGrid w:val="0"/>
              <w:spacing w:line="300" w:lineRule="auto"/>
              <w:ind w:left="420" w:leftChars="0"/>
              <w:jc w:val="left"/>
              <w:textAlignment w:val="auto"/>
              <w:rPr>
                <w:rFonts w:hint="default" w:ascii="Times New Roman" w:hAnsi="Times New Roman" w:cs="Times New Roman"/>
                <w:bCs/>
                <w:sz w:val="24"/>
                <w:szCs w:val="28"/>
              </w:rPr>
            </w:pPr>
            <w:r>
              <w:rPr>
                <w:rFonts w:hint="default" w:ascii="Times New Roman" w:hAnsi="Times New Roman" w:cs="Times New Roman"/>
                <w:bCs/>
                <w:sz w:val="24"/>
                <w:szCs w:val="28"/>
              </w:rPr>
              <w:t>自校正：每个通道增益用标准电流校正，误差&lt;0.1%</w:t>
            </w:r>
          </w:p>
          <w:p w14:paraId="3B7A828E">
            <w:pPr>
              <w:keepNext w:val="0"/>
              <w:keepLines w:val="0"/>
              <w:pageBreakBefore w:val="0"/>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b/>
                <w:sz w:val="24"/>
                <w:szCs w:val="28"/>
              </w:rPr>
            </w:pPr>
            <w:r>
              <w:rPr>
                <w:rFonts w:hint="default" w:ascii="Times New Roman" w:hAnsi="Times New Roman" w:cs="Times New Roman"/>
                <w:b/>
                <w:sz w:val="24"/>
                <w:szCs w:val="28"/>
              </w:rPr>
              <w:t>供货商须提供的技术资料：</w:t>
            </w:r>
          </w:p>
          <w:p w14:paraId="65EF476B">
            <w:pPr>
              <w:pStyle w:val="5"/>
              <w:keepNext w:val="0"/>
              <w:keepLines w:val="0"/>
              <w:pageBreakBefore w:val="0"/>
              <w:numPr>
                <w:ilvl w:val="0"/>
                <w:numId w:val="2"/>
              </w:numPr>
              <w:kinsoku/>
              <w:wordWrap/>
              <w:overflowPunct/>
              <w:topLinePunct w:val="0"/>
              <w:autoSpaceDE/>
              <w:autoSpaceDN/>
              <w:bidi w:val="0"/>
              <w:adjustRightInd/>
              <w:snapToGrid w:val="0"/>
              <w:spacing w:line="300" w:lineRule="auto"/>
              <w:ind w:firstLineChars="0"/>
              <w:textAlignment w:val="auto"/>
              <w:rPr>
                <w:rFonts w:hint="default" w:ascii="Times New Roman" w:hAnsi="Times New Roman" w:cs="Times New Roman"/>
                <w:bCs/>
                <w:sz w:val="24"/>
                <w:szCs w:val="28"/>
              </w:rPr>
            </w:pPr>
            <w:r>
              <w:rPr>
                <w:rFonts w:hint="default" w:ascii="Times New Roman" w:hAnsi="Times New Roman" w:cs="Times New Roman"/>
                <w:bCs/>
                <w:sz w:val="24"/>
                <w:szCs w:val="28"/>
              </w:rPr>
              <w:t>系统框图和电子版原理图；</w:t>
            </w:r>
          </w:p>
          <w:p w14:paraId="2793B8CD">
            <w:pPr>
              <w:pStyle w:val="5"/>
              <w:keepNext w:val="0"/>
              <w:keepLines w:val="0"/>
              <w:pageBreakBefore w:val="0"/>
              <w:numPr>
                <w:ilvl w:val="0"/>
                <w:numId w:val="2"/>
              </w:numPr>
              <w:kinsoku/>
              <w:wordWrap/>
              <w:overflowPunct/>
              <w:topLinePunct w:val="0"/>
              <w:autoSpaceDE/>
              <w:autoSpaceDN/>
              <w:bidi w:val="0"/>
              <w:adjustRightInd/>
              <w:snapToGrid w:val="0"/>
              <w:spacing w:line="300" w:lineRule="auto"/>
              <w:ind w:firstLineChars="0"/>
              <w:textAlignment w:val="auto"/>
              <w:rPr>
                <w:rFonts w:hint="default" w:ascii="Times New Roman" w:hAnsi="Times New Roman" w:cs="Times New Roman"/>
                <w:bCs/>
                <w:sz w:val="24"/>
                <w:szCs w:val="28"/>
              </w:rPr>
            </w:pPr>
            <w:r>
              <w:rPr>
                <w:rFonts w:hint="default" w:ascii="Times New Roman" w:hAnsi="Times New Roman" w:cs="Times New Roman"/>
                <w:bCs/>
                <w:sz w:val="24"/>
                <w:szCs w:val="28"/>
              </w:rPr>
              <w:t>各接头的管脚电气定义、物理意义；</w:t>
            </w:r>
          </w:p>
          <w:p w14:paraId="529C3A29">
            <w:pPr>
              <w:pStyle w:val="5"/>
              <w:keepNext w:val="0"/>
              <w:keepLines w:val="0"/>
              <w:pageBreakBefore w:val="0"/>
              <w:numPr>
                <w:ilvl w:val="0"/>
                <w:numId w:val="2"/>
              </w:numPr>
              <w:kinsoku/>
              <w:wordWrap/>
              <w:overflowPunct/>
              <w:topLinePunct w:val="0"/>
              <w:autoSpaceDE/>
              <w:autoSpaceDN/>
              <w:bidi w:val="0"/>
              <w:adjustRightInd/>
              <w:snapToGrid w:val="0"/>
              <w:spacing w:line="300" w:lineRule="auto"/>
              <w:ind w:firstLineChars="0"/>
              <w:textAlignment w:val="auto"/>
              <w:rPr>
                <w:rFonts w:hint="eastAsia"/>
                <w:bCs/>
                <w:sz w:val="24"/>
                <w:szCs w:val="24"/>
              </w:rPr>
            </w:pPr>
            <w:r>
              <w:rPr>
                <w:rFonts w:hint="default" w:ascii="Times New Roman" w:hAnsi="Times New Roman" w:cs="Times New Roman"/>
                <w:bCs/>
                <w:sz w:val="24"/>
                <w:szCs w:val="28"/>
              </w:rPr>
              <w:t>安装、校准和配置指南、使用手册；</w:t>
            </w:r>
          </w:p>
        </w:tc>
        <w:tc>
          <w:tcPr>
            <w:tcW w:w="1227" w:type="dxa"/>
            <w:vAlign w:val="center"/>
          </w:tcPr>
          <w:p w14:paraId="29DFE29F">
            <w:pPr>
              <w:spacing w:line="240" w:lineRule="atLeast"/>
              <w:jc w:val="center"/>
              <w:rPr>
                <w:sz w:val="24"/>
                <w:szCs w:val="24"/>
              </w:rPr>
            </w:pPr>
          </w:p>
        </w:tc>
        <w:tc>
          <w:tcPr>
            <w:tcW w:w="1000" w:type="dxa"/>
            <w:vAlign w:val="center"/>
          </w:tcPr>
          <w:p w14:paraId="76B2839D">
            <w:pPr>
              <w:spacing w:line="240" w:lineRule="atLeast"/>
              <w:jc w:val="center"/>
              <w:rPr>
                <w:sz w:val="24"/>
                <w:szCs w:val="24"/>
              </w:rPr>
            </w:pPr>
          </w:p>
        </w:tc>
      </w:tr>
      <w:tr w14:paraId="67634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705" w:type="dxa"/>
            <w:vAlign w:val="center"/>
          </w:tcPr>
          <w:p w14:paraId="711317D4">
            <w:pPr>
              <w:spacing w:line="240" w:lineRule="atLeast"/>
              <w:jc w:val="center"/>
              <w:rPr>
                <w:sz w:val="24"/>
                <w:szCs w:val="24"/>
              </w:rPr>
            </w:pPr>
            <w:r>
              <w:rPr>
                <w:sz w:val="24"/>
                <w:szCs w:val="24"/>
              </w:rPr>
              <w:t>2</w:t>
            </w:r>
          </w:p>
        </w:tc>
        <w:tc>
          <w:tcPr>
            <w:tcW w:w="1245" w:type="dxa"/>
            <w:tcBorders>
              <w:top w:val="single" w:color="auto" w:sz="4" w:space="0"/>
              <w:left w:val="single" w:color="auto" w:sz="4" w:space="0"/>
              <w:bottom w:val="single" w:color="auto" w:sz="4" w:space="0"/>
              <w:right w:val="single" w:color="auto" w:sz="4" w:space="0"/>
            </w:tcBorders>
            <w:shd w:val="clear" w:color="auto" w:fill="auto"/>
            <w:vAlign w:val="center"/>
          </w:tcPr>
          <w:p w14:paraId="124D5A23">
            <w:pPr>
              <w:widowControl/>
              <w:spacing w:line="240" w:lineRule="atLeast"/>
              <w:jc w:val="center"/>
              <w:rPr>
                <w:sz w:val="24"/>
                <w:szCs w:val="24"/>
              </w:rPr>
            </w:pPr>
            <w:r>
              <w:rPr>
                <w:rFonts w:hint="eastAsia"/>
                <w:sz w:val="24"/>
                <w:szCs w:val="24"/>
              </w:rPr>
              <w:t>商务条款</w:t>
            </w:r>
          </w:p>
        </w:tc>
        <w:tc>
          <w:tcPr>
            <w:tcW w:w="5604" w:type="dxa"/>
            <w:tcBorders>
              <w:top w:val="single" w:color="auto" w:sz="4" w:space="0"/>
              <w:left w:val="nil"/>
              <w:bottom w:val="single" w:color="auto" w:sz="4" w:space="0"/>
              <w:right w:val="single" w:color="auto" w:sz="4" w:space="0"/>
            </w:tcBorders>
            <w:shd w:val="clear" w:color="auto" w:fill="auto"/>
            <w:vAlign w:val="center"/>
          </w:tcPr>
          <w:p w14:paraId="0DE61CB0">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eastAsiaTheme="minorEastAsia"/>
                <w:sz w:val="24"/>
                <w:szCs w:val="24"/>
                <w:lang w:val="en-US" w:eastAsia="zh-CN"/>
              </w:rPr>
            </w:pPr>
            <w:r>
              <w:rPr>
                <w:rFonts w:hint="default" w:ascii="Times New Roman" w:hAnsi="Times New Roman" w:cs="Times New Roman"/>
                <w:b/>
                <w:bCs/>
                <w:sz w:val="24"/>
                <w:szCs w:val="24"/>
              </w:rPr>
              <w:t>交货期：</w:t>
            </w:r>
            <w:r>
              <w:rPr>
                <w:rFonts w:hint="default" w:ascii="Times New Roman" w:hAnsi="Times New Roman" w:cs="Times New Roman"/>
                <w:sz w:val="24"/>
                <w:szCs w:val="24"/>
              </w:rPr>
              <w:t>合同</w:t>
            </w:r>
            <w:r>
              <w:rPr>
                <w:rFonts w:hint="default" w:ascii="Times New Roman" w:hAnsi="Times New Roman" w:cs="Times New Roman"/>
                <w:sz w:val="24"/>
                <w:szCs w:val="24"/>
                <w:lang w:val="en-US" w:eastAsia="zh-CN"/>
              </w:rPr>
              <w:t>签订</w:t>
            </w:r>
            <w:r>
              <w:rPr>
                <w:rFonts w:hint="default" w:ascii="Times New Roman" w:hAnsi="Times New Roman" w:cs="Times New Roman"/>
                <w:sz w:val="24"/>
                <w:szCs w:val="24"/>
              </w:rPr>
              <w:t>后</w:t>
            </w:r>
            <w:r>
              <w:rPr>
                <w:rFonts w:hint="default" w:ascii="Times New Roman" w:hAnsi="Times New Roman" w:cs="Times New Roman"/>
                <w:sz w:val="24"/>
                <w:szCs w:val="24"/>
                <w:lang w:val="en-US" w:eastAsia="zh-CN"/>
              </w:rPr>
              <w:t>6</w:t>
            </w:r>
            <w:r>
              <w:rPr>
                <w:rFonts w:hint="default" w:ascii="Times New Roman" w:hAnsi="Times New Roman" w:cs="Times New Roman"/>
                <w:sz w:val="24"/>
                <w:szCs w:val="24"/>
              </w:rPr>
              <w:t>个月</w:t>
            </w:r>
            <w:r>
              <w:rPr>
                <w:rFonts w:hint="default" w:ascii="Times New Roman" w:hAnsi="Times New Roman" w:cs="Times New Roman"/>
                <w:sz w:val="24"/>
                <w:szCs w:val="24"/>
                <w:lang w:val="en-US" w:eastAsia="zh-CN"/>
              </w:rPr>
              <w:t>内</w:t>
            </w:r>
          </w:p>
          <w:p w14:paraId="55F05122">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sz w:val="24"/>
                <w:szCs w:val="24"/>
              </w:rPr>
            </w:pPr>
            <w:r>
              <w:rPr>
                <w:rFonts w:hint="default" w:ascii="Times New Roman" w:hAnsi="Times New Roman" w:cs="Times New Roman"/>
                <w:b/>
                <w:bCs/>
                <w:sz w:val="24"/>
                <w:szCs w:val="24"/>
              </w:rPr>
              <w:t>交付进度</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一</w:t>
            </w:r>
            <w:r>
              <w:rPr>
                <w:rFonts w:hint="default" w:ascii="Times New Roman" w:hAnsi="Times New Roman" w:cs="Times New Roman"/>
                <w:sz w:val="24"/>
                <w:szCs w:val="24"/>
              </w:rPr>
              <w:t>次性交付</w:t>
            </w:r>
          </w:p>
          <w:p w14:paraId="7C41B4FC">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sz w:val="24"/>
                <w:szCs w:val="24"/>
                <w:lang w:eastAsia="zh-CN"/>
              </w:rPr>
            </w:pPr>
            <w:r>
              <w:rPr>
                <w:rFonts w:hint="default" w:ascii="Times New Roman" w:hAnsi="Times New Roman" w:cs="Times New Roman"/>
                <w:b/>
                <w:bCs/>
                <w:sz w:val="24"/>
                <w:szCs w:val="24"/>
              </w:rPr>
              <w:t>付款方式</w:t>
            </w:r>
            <w:r>
              <w:rPr>
                <w:rFonts w:hint="default" w:ascii="Times New Roman" w:hAnsi="Times New Roman" w:cs="Times New Roman"/>
                <w:sz w:val="24"/>
                <w:szCs w:val="24"/>
              </w:rPr>
              <w:t>：合同</w:t>
            </w:r>
            <w:r>
              <w:rPr>
                <w:rFonts w:hint="default" w:ascii="Times New Roman" w:hAnsi="Times New Roman" w:cs="Times New Roman"/>
                <w:sz w:val="24"/>
                <w:szCs w:val="24"/>
                <w:lang w:val="en-US" w:eastAsia="zh-CN"/>
              </w:rPr>
              <w:t>签订</w:t>
            </w:r>
            <w:r>
              <w:rPr>
                <w:rFonts w:hint="default" w:ascii="Times New Roman" w:hAnsi="Times New Roman" w:cs="Times New Roman"/>
                <w:sz w:val="24"/>
                <w:szCs w:val="24"/>
              </w:rPr>
              <w:t>后预付</w:t>
            </w:r>
            <w:r>
              <w:rPr>
                <w:rFonts w:hint="default" w:ascii="Times New Roman" w:hAnsi="Times New Roman" w:cs="Times New Roman"/>
                <w:sz w:val="24"/>
                <w:szCs w:val="24"/>
                <w:lang w:val="en-US" w:eastAsia="zh-CN"/>
              </w:rPr>
              <w:t>合同总金额的4</w:t>
            </w:r>
            <w:r>
              <w:rPr>
                <w:rFonts w:hint="default" w:ascii="Times New Roman" w:hAnsi="Times New Roman" w:cs="Times New Roman"/>
                <w:sz w:val="24"/>
                <w:szCs w:val="24"/>
              </w:rPr>
              <w:t>0%，</w:t>
            </w:r>
            <w:r>
              <w:rPr>
                <w:rFonts w:hint="default" w:ascii="Times New Roman" w:hAnsi="Times New Roman" w:cs="Times New Roman"/>
                <w:sz w:val="24"/>
                <w:szCs w:val="24"/>
                <w:lang w:val="en-US" w:eastAsia="zh-CN"/>
              </w:rPr>
              <w:t>验收</w:t>
            </w:r>
            <w:r>
              <w:rPr>
                <w:rFonts w:hint="default" w:ascii="Times New Roman" w:hAnsi="Times New Roman" w:cs="Times New Roman"/>
                <w:sz w:val="24"/>
                <w:szCs w:val="24"/>
              </w:rPr>
              <w:t>合格</w:t>
            </w:r>
            <w:r>
              <w:rPr>
                <w:rFonts w:hint="default" w:ascii="Times New Roman" w:hAnsi="Times New Roman" w:cs="Times New Roman"/>
                <w:sz w:val="24"/>
                <w:szCs w:val="24"/>
                <w:lang w:val="en-US" w:eastAsia="zh-CN"/>
              </w:rPr>
              <w:t>并</w:t>
            </w:r>
            <w:r>
              <w:rPr>
                <w:rFonts w:hint="default" w:ascii="Times New Roman" w:hAnsi="Times New Roman" w:cs="Times New Roman"/>
                <w:sz w:val="24"/>
                <w:szCs w:val="24"/>
              </w:rPr>
              <w:t>到货</w:t>
            </w:r>
            <w:r>
              <w:rPr>
                <w:rFonts w:hint="default" w:ascii="Times New Roman" w:hAnsi="Times New Roman" w:cs="Times New Roman"/>
                <w:sz w:val="24"/>
                <w:szCs w:val="24"/>
                <w:lang w:val="en-US" w:eastAsia="zh-CN"/>
              </w:rPr>
              <w:t>付</w:t>
            </w:r>
            <w:r>
              <w:rPr>
                <w:rFonts w:hint="default" w:ascii="Times New Roman" w:hAnsi="Times New Roman" w:cs="Times New Roman"/>
                <w:sz w:val="24"/>
                <w:szCs w:val="24"/>
              </w:rPr>
              <w:t>60%</w:t>
            </w:r>
            <w:r>
              <w:rPr>
                <w:rFonts w:hint="default" w:ascii="Times New Roman" w:hAnsi="Times New Roman" w:cs="Times New Roman"/>
                <w:sz w:val="24"/>
                <w:szCs w:val="24"/>
                <w:lang w:eastAsia="zh-CN"/>
              </w:rPr>
              <w:t>尾</w:t>
            </w:r>
            <w:r>
              <w:rPr>
                <w:rFonts w:hint="default" w:ascii="Times New Roman" w:hAnsi="Times New Roman" w:cs="Times New Roman"/>
                <w:sz w:val="24"/>
                <w:szCs w:val="24"/>
              </w:rPr>
              <w:t>款</w:t>
            </w:r>
            <w:r>
              <w:rPr>
                <w:rFonts w:hint="default" w:ascii="Times New Roman" w:hAnsi="Times New Roman" w:cs="Times New Roman"/>
                <w:sz w:val="24"/>
                <w:szCs w:val="24"/>
                <w:lang w:eastAsia="zh-CN"/>
              </w:rPr>
              <w:t>。</w:t>
            </w:r>
          </w:p>
          <w:p w14:paraId="2629B7C7">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sz w:val="24"/>
                <w:szCs w:val="24"/>
              </w:rPr>
            </w:pPr>
            <w:r>
              <w:rPr>
                <w:rFonts w:hint="default" w:ascii="Times New Roman" w:hAnsi="Times New Roman" w:cs="Times New Roman"/>
                <w:b/>
                <w:bCs/>
                <w:sz w:val="24"/>
                <w:szCs w:val="24"/>
              </w:rPr>
              <w:t>验收指标及验收要求：</w:t>
            </w:r>
            <w:r>
              <w:rPr>
                <w:rFonts w:hint="default" w:ascii="Times New Roman" w:hAnsi="Times New Roman" w:cs="Times New Roman"/>
                <w:sz w:val="24"/>
                <w:szCs w:val="24"/>
              </w:rPr>
              <w:t xml:space="preserve"> </w:t>
            </w:r>
          </w:p>
          <w:p w14:paraId="780B052A">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提供出厂检测报告，需包含动态范围：1nA至1mA，7档量程，每个量程线性范围-10V~+10V；模拟带宽：40kHz；采样率：250kHz，采样分辨率24Bit，输入本底噪声</w:t>
            </w:r>
            <w:r>
              <w:rPr>
                <w:rFonts w:hint="eastAsia" w:ascii="Times New Roman" w:hAnsi="Times New Roman" w:cs="Times New Roman"/>
                <w:b w:val="0"/>
                <w:bCs w:val="0"/>
                <w:sz w:val="24"/>
                <w:szCs w:val="24"/>
                <w:lang w:eastAsia="zh-CN"/>
              </w:rPr>
              <w:t>：</w:t>
            </w:r>
            <w:r>
              <w:rPr>
                <w:rFonts w:hint="default" w:ascii="Times New Roman" w:hAnsi="Times New Roman" w:cs="Times New Roman"/>
                <w:b w:val="0"/>
                <w:bCs w:val="0"/>
                <w:sz w:val="24"/>
                <w:szCs w:val="24"/>
              </w:rPr>
              <w:t>&lt;10μVpp；输入阻抗：小于等于40Ω；四路监控输出DAC：24位，±10V; 四路监控输出V-F：TTL，0~1MHz，±10V; 低压偏置电源：-20V ~ +20V/输出电流20mA （0.1V调节步长，纹波Vpp:1%）；高压偏置电源：-3kV ~ +3kV/输出电流5mA （1.0V调节步长，纹波Vpp:10%）；触发采样：同步精度&lt;100ns，触发频率&lt;100kHz；触发（外触发、内触发）同步采样：同步精度&lt;100ns，触发频率&lt;100kHz；自校正：每个通道增益用标准电流校正，误差&lt;0.1%。通讯接口: 千兆以太网通讯接口; 软件: 提供EPICS IOC 和 OPI。</w:t>
            </w:r>
          </w:p>
          <w:p w14:paraId="3D2CE63C">
            <w:pPr>
              <w:keepNext w:val="0"/>
              <w:keepLines w:val="0"/>
              <w:pageBreakBefore w:val="0"/>
              <w:widowControl w:val="0"/>
              <w:tabs>
                <w:tab w:val="left" w:pos="6915"/>
              </w:tabs>
              <w:kinsoku/>
              <w:wordWrap/>
              <w:overflowPunct/>
              <w:topLinePunct w:val="0"/>
              <w:autoSpaceDE/>
              <w:autoSpaceDN/>
              <w:bidi w:val="0"/>
              <w:adjustRightInd w:val="0"/>
              <w:snapToGrid w:val="0"/>
              <w:spacing w:line="300" w:lineRule="auto"/>
              <w:jc w:val="left"/>
              <w:textAlignment w:val="auto"/>
              <w:rPr>
                <w:rFonts w:hint="eastAsia"/>
                <w:kern w:val="0"/>
                <w:sz w:val="24"/>
                <w:szCs w:val="24"/>
              </w:rPr>
            </w:pPr>
            <w:r>
              <w:rPr>
                <w:rFonts w:hint="default" w:ascii="Times New Roman" w:hAnsi="Times New Roman" w:cs="Times New Roman"/>
                <w:b/>
                <w:bCs/>
                <w:sz w:val="24"/>
                <w:szCs w:val="24"/>
              </w:rPr>
              <w:t>保修及售后服务：</w:t>
            </w:r>
            <w:r>
              <w:rPr>
                <w:rFonts w:hint="default" w:ascii="Times New Roman" w:hAnsi="Times New Roman" w:eastAsia="宋体" w:cs="Times New Roman"/>
                <w:kern w:val="0"/>
                <w:sz w:val="24"/>
                <w:szCs w:val="24"/>
              </w:rPr>
              <w:t>3年保修服务</w:t>
            </w:r>
            <w:r>
              <w:rPr>
                <w:rFonts w:hint="default" w:ascii="Times New Roman" w:hAnsi="Times New Roman" w:eastAsia="宋体" w:cs="Times New Roman"/>
                <w:kern w:val="0"/>
                <w:sz w:val="24"/>
                <w:szCs w:val="24"/>
                <w:lang w:eastAsia="zh-CN"/>
              </w:rPr>
              <w:t>。</w:t>
            </w:r>
          </w:p>
        </w:tc>
        <w:tc>
          <w:tcPr>
            <w:tcW w:w="1227" w:type="dxa"/>
            <w:vAlign w:val="center"/>
          </w:tcPr>
          <w:p w14:paraId="6EE84714">
            <w:pPr>
              <w:spacing w:line="240" w:lineRule="atLeast"/>
              <w:jc w:val="center"/>
              <w:rPr>
                <w:sz w:val="24"/>
                <w:szCs w:val="24"/>
              </w:rPr>
            </w:pPr>
          </w:p>
        </w:tc>
        <w:tc>
          <w:tcPr>
            <w:tcW w:w="1000" w:type="dxa"/>
            <w:vAlign w:val="center"/>
          </w:tcPr>
          <w:p w14:paraId="4E9B639C">
            <w:pPr>
              <w:spacing w:line="240" w:lineRule="atLeast"/>
              <w:jc w:val="center"/>
              <w:rPr>
                <w:sz w:val="24"/>
                <w:szCs w:val="24"/>
              </w:rPr>
            </w:pPr>
          </w:p>
        </w:tc>
      </w:tr>
    </w:tbl>
    <w:p w14:paraId="6455552B">
      <w:pPr>
        <w:ind w:right="840"/>
        <w:rPr>
          <w:sz w:val="22"/>
          <w:szCs w:val="22"/>
        </w:rPr>
      </w:pPr>
    </w:p>
    <w:p w14:paraId="473EE6D2">
      <w:pPr>
        <w:ind w:right="840" w:firstLine="4620" w:firstLineChars="2100"/>
        <w:rPr>
          <w:sz w:val="22"/>
          <w:szCs w:val="22"/>
        </w:rPr>
      </w:pPr>
    </w:p>
    <w:p w14:paraId="6CCA392F">
      <w:pPr>
        <w:ind w:right="840" w:firstLine="4620" w:firstLineChars="2100"/>
        <w:rPr>
          <w:sz w:val="22"/>
          <w:szCs w:val="22"/>
        </w:rPr>
      </w:pPr>
    </w:p>
    <w:p w14:paraId="6484E376">
      <w:pPr>
        <w:ind w:right="840" w:firstLine="5040" w:firstLineChars="2100"/>
        <w:rPr>
          <w:sz w:val="24"/>
          <w:szCs w:val="24"/>
        </w:rPr>
      </w:pPr>
      <w:r>
        <w:rPr>
          <w:sz w:val="24"/>
          <w:szCs w:val="24"/>
        </w:rPr>
        <w:t>公司名称</w:t>
      </w:r>
      <w:r>
        <w:rPr>
          <w:rFonts w:hint="eastAsia"/>
          <w:sz w:val="24"/>
          <w:szCs w:val="24"/>
        </w:rPr>
        <w:t>（盖章）：</w:t>
      </w:r>
    </w:p>
    <w:p w14:paraId="1425069F">
      <w:pPr>
        <w:ind w:right="840"/>
        <w:jc w:val="center"/>
        <w:rPr>
          <w:sz w:val="24"/>
          <w:szCs w:val="24"/>
        </w:rPr>
      </w:pPr>
      <w:r>
        <w:rPr>
          <w:rFonts w:hint="eastAsia"/>
          <w:sz w:val="24"/>
          <w:szCs w:val="24"/>
        </w:rPr>
        <w:t xml:space="preserve"> </w:t>
      </w:r>
      <w:r>
        <w:rPr>
          <w:sz w:val="24"/>
          <w:szCs w:val="24"/>
        </w:rPr>
        <w:t xml:space="preserve">                            日期</w:t>
      </w:r>
      <w:r>
        <w:rPr>
          <w:rFonts w:hint="eastAsia"/>
          <w:sz w:val="24"/>
          <w:szCs w:val="24"/>
        </w:rPr>
        <w:t>：</w:t>
      </w:r>
    </w:p>
    <w:p w14:paraId="7CAF3A71"/>
    <w:p w14:paraId="5E7617FD"/>
    <w:p w14:paraId="77E9096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D24616"/>
    <w:multiLevelType w:val="multilevel"/>
    <w:tmpl w:val="19D24616"/>
    <w:lvl w:ilvl="0" w:tentative="0">
      <w:start w:val="1"/>
      <w:numFmt w:val="decimal"/>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1">
    <w:nsid w:val="51DF29C5"/>
    <w:multiLevelType w:val="multilevel"/>
    <w:tmpl w:val="51DF29C5"/>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420"/>
        </w:tabs>
        <w:ind w:left="840" w:hanging="420"/>
      </w:pPr>
    </w:lvl>
    <w:lvl w:ilvl="2" w:tentative="0">
      <w:start w:val="1"/>
      <w:numFmt w:val="lowerRoman"/>
      <w:lvlText w:val="%3."/>
      <w:lvlJc w:val="right"/>
      <w:pPr>
        <w:tabs>
          <w:tab w:val="left" w:pos="-420"/>
        </w:tabs>
        <w:ind w:left="1260" w:hanging="420"/>
      </w:pPr>
    </w:lvl>
    <w:lvl w:ilvl="3" w:tentative="0">
      <w:start w:val="1"/>
      <w:numFmt w:val="decimal"/>
      <w:lvlText w:val="%4."/>
      <w:lvlJc w:val="left"/>
      <w:pPr>
        <w:tabs>
          <w:tab w:val="left" w:pos="-420"/>
        </w:tabs>
        <w:ind w:left="1680" w:hanging="420"/>
      </w:pPr>
    </w:lvl>
    <w:lvl w:ilvl="4" w:tentative="0">
      <w:start w:val="1"/>
      <w:numFmt w:val="lowerLetter"/>
      <w:lvlText w:val="%5)"/>
      <w:lvlJc w:val="left"/>
      <w:pPr>
        <w:tabs>
          <w:tab w:val="left" w:pos="-420"/>
        </w:tabs>
        <w:ind w:left="2100" w:hanging="420"/>
      </w:pPr>
    </w:lvl>
    <w:lvl w:ilvl="5" w:tentative="0">
      <w:start w:val="1"/>
      <w:numFmt w:val="lowerRoman"/>
      <w:lvlText w:val="%6."/>
      <w:lvlJc w:val="right"/>
      <w:pPr>
        <w:tabs>
          <w:tab w:val="left" w:pos="-420"/>
        </w:tabs>
        <w:ind w:left="2520" w:hanging="420"/>
      </w:pPr>
    </w:lvl>
    <w:lvl w:ilvl="6" w:tentative="0">
      <w:start w:val="1"/>
      <w:numFmt w:val="decimal"/>
      <w:lvlText w:val="%7."/>
      <w:lvlJc w:val="left"/>
      <w:pPr>
        <w:tabs>
          <w:tab w:val="left" w:pos="-420"/>
        </w:tabs>
        <w:ind w:left="2940" w:hanging="420"/>
      </w:pPr>
    </w:lvl>
    <w:lvl w:ilvl="7" w:tentative="0">
      <w:start w:val="1"/>
      <w:numFmt w:val="lowerLetter"/>
      <w:lvlText w:val="%8)"/>
      <w:lvlJc w:val="left"/>
      <w:pPr>
        <w:tabs>
          <w:tab w:val="left" w:pos="-420"/>
        </w:tabs>
        <w:ind w:left="3360" w:hanging="420"/>
      </w:pPr>
    </w:lvl>
    <w:lvl w:ilvl="8" w:tentative="0">
      <w:start w:val="1"/>
      <w:numFmt w:val="lowerRoman"/>
      <w:lvlText w:val="%9."/>
      <w:lvlJc w:val="right"/>
      <w:pPr>
        <w:tabs>
          <w:tab w:val="left" w:pos="-42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72E1"/>
    <w:rsid w:val="000972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7</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2026-03-02T08:21:00Z</dcterms:created>
  <dc:creator>DELL</dc:creator>
  <cp:lastModifiedBy>DELL</cp:lastModifiedBy>
  <dcterms:modified xsi:type="dcterms:W3CDTF">2026-03-02T08:30:32Z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DF393350A7E7487F86E920154EE72F78_11</vt:lpwstr>
  </property>
  <property fmtid="{D5CDD505-2E9C-101B-9397-08002B2CF9AE}" pid="4" name="KSOTemplateDocerSaveRecord">
    <vt:lpwstr>eyJoZGlkIjoiN2RmNGQ2MDc0ZGFiNmIyNjNmMmJiNzcxMzg1OWQzY2YifQ==</vt:lpwstr>
  </property>
</Properties>
</file>