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9955E">
      <w:pPr>
        <w:jc w:val="center"/>
        <w:rPr>
          <w:sz w:val="36"/>
        </w:rPr>
      </w:pPr>
      <w:r>
        <w:rPr>
          <w:sz w:val="36"/>
        </w:rPr>
        <w:t>中国科学技术大学国家同步辐射实验室</w:t>
      </w:r>
    </w:p>
    <w:p w14:paraId="0973E65B">
      <w:pPr>
        <w:jc w:val="center"/>
        <w:rPr>
          <w:sz w:val="36"/>
        </w:rPr>
      </w:pPr>
      <w:r>
        <w:rPr>
          <w:rFonts w:hint="eastAsia"/>
          <w:sz w:val="36"/>
        </w:rPr>
        <w:t>技术指标供应商确认表</w:t>
      </w:r>
    </w:p>
    <w:p w14:paraId="3E58F52B"/>
    <w:tbl>
      <w:tblPr>
        <w:tblStyle w:val="6"/>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22"/>
        <w:gridCol w:w="5244"/>
        <w:gridCol w:w="1418"/>
        <w:gridCol w:w="992"/>
      </w:tblGrid>
      <w:tr w14:paraId="3979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05" w:type="dxa"/>
            <w:vAlign w:val="center"/>
          </w:tcPr>
          <w:p w14:paraId="75C250BA">
            <w:pPr>
              <w:spacing w:line="240" w:lineRule="atLeast"/>
              <w:jc w:val="center"/>
              <w:rPr>
                <w:sz w:val="22"/>
              </w:rPr>
            </w:pPr>
            <w:r>
              <w:rPr>
                <w:rFonts w:hint="eastAsia"/>
                <w:sz w:val="22"/>
              </w:rPr>
              <w:t>序号</w:t>
            </w:r>
          </w:p>
        </w:tc>
        <w:tc>
          <w:tcPr>
            <w:tcW w:w="1422" w:type="dxa"/>
            <w:vAlign w:val="center"/>
          </w:tcPr>
          <w:p w14:paraId="3A9FF52B">
            <w:pPr>
              <w:spacing w:line="240" w:lineRule="atLeast"/>
              <w:jc w:val="center"/>
              <w:rPr>
                <w:sz w:val="22"/>
              </w:rPr>
            </w:pPr>
            <w:r>
              <w:rPr>
                <w:rFonts w:hint="eastAsia"/>
                <w:sz w:val="22"/>
              </w:rPr>
              <w:t>名称</w:t>
            </w:r>
          </w:p>
        </w:tc>
        <w:tc>
          <w:tcPr>
            <w:tcW w:w="5244" w:type="dxa"/>
            <w:vAlign w:val="center"/>
          </w:tcPr>
          <w:p w14:paraId="258D475E">
            <w:pPr>
              <w:spacing w:line="240" w:lineRule="atLeast"/>
              <w:jc w:val="center"/>
              <w:rPr>
                <w:sz w:val="22"/>
              </w:rPr>
            </w:pPr>
            <w:r>
              <w:rPr>
                <w:rFonts w:hint="eastAsia"/>
                <w:sz w:val="22"/>
              </w:rPr>
              <w:t>技术指标</w:t>
            </w:r>
          </w:p>
        </w:tc>
        <w:tc>
          <w:tcPr>
            <w:tcW w:w="1418" w:type="dxa"/>
            <w:vAlign w:val="center"/>
          </w:tcPr>
          <w:p w14:paraId="37F7A556">
            <w:pPr>
              <w:spacing w:line="240" w:lineRule="atLeast"/>
              <w:jc w:val="center"/>
              <w:rPr>
                <w:szCs w:val="21"/>
              </w:rPr>
            </w:pPr>
            <w:r>
              <w:rPr>
                <w:rFonts w:hint="eastAsia"/>
                <w:szCs w:val="21"/>
              </w:rPr>
              <w:t>偏离说明</w:t>
            </w:r>
          </w:p>
          <w:p w14:paraId="328E92F5">
            <w:pPr>
              <w:spacing w:line="240" w:lineRule="atLeast"/>
              <w:jc w:val="center"/>
              <w:rPr>
                <w:sz w:val="24"/>
              </w:rPr>
            </w:pPr>
            <w:r>
              <w:rPr>
                <w:rFonts w:hint="eastAsia"/>
                <w:szCs w:val="21"/>
              </w:rPr>
              <w:t>(</w:t>
            </w:r>
            <w:r>
              <w:rPr>
                <w:szCs w:val="21"/>
              </w:rPr>
              <w:t>无偏离</w:t>
            </w:r>
            <w:r>
              <w:rPr>
                <w:rFonts w:hint="eastAsia"/>
                <w:szCs w:val="21"/>
              </w:rPr>
              <w:t>/</w:t>
            </w:r>
            <w:r>
              <w:rPr>
                <w:szCs w:val="21"/>
              </w:rPr>
              <w:t>正偏离</w:t>
            </w:r>
            <w:r>
              <w:rPr>
                <w:rFonts w:hint="eastAsia"/>
                <w:szCs w:val="21"/>
              </w:rPr>
              <w:t>/</w:t>
            </w:r>
            <w:r>
              <w:rPr>
                <w:szCs w:val="21"/>
              </w:rPr>
              <w:t>负偏离</w:t>
            </w:r>
            <w:r>
              <w:rPr>
                <w:rFonts w:hint="eastAsia"/>
                <w:szCs w:val="21"/>
              </w:rPr>
              <w:t>)</w:t>
            </w:r>
          </w:p>
        </w:tc>
        <w:tc>
          <w:tcPr>
            <w:tcW w:w="992" w:type="dxa"/>
            <w:vAlign w:val="center"/>
          </w:tcPr>
          <w:p w14:paraId="22A89C1E">
            <w:pPr>
              <w:spacing w:line="240" w:lineRule="atLeast"/>
              <w:jc w:val="center"/>
              <w:rPr>
                <w:sz w:val="24"/>
              </w:rPr>
            </w:pPr>
            <w:r>
              <w:rPr>
                <w:rFonts w:hint="eastAsia"/>
                <w:sz w:val="22"/>
              </w:rPr>
              <w:t>偏离值</w:t>
            </w:r>
          </w:p>
        </w:tc>
      </w:tr>
      <w:tr w14:paraId="3943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trPr>
        <w:tc>
          <w:tcPr>
            <w:tcW w:w="705" w:type="dxa"/>
            <w:vAlign w:val="center"/>
          </w:tcPr>
          <w:p w14:paraId="185CA09D">
            <w:pPr>
              <w:spacing w:line="240" w:lineRule="atLeast"/>
              <w:jc w:val="center"/>
            </w:pPr>
            <w:r>
              <w:rPr>
                <w:rFonts w:hint="eastAsia"/>
              </w:rPr>
              <w:t>1</w:t>
            </w:r>
          </w:p>
        </w:tc>
        <w:tc>
          <w:tcPr>
            <w:tcW w:w="1422" w:type="dxa"/>
            <w:tcBorders>
              <w:bottom w:val="single" w:color="auto" w:sz="4" w:space="0"/>
            </w:tcBorders>
            <w:shd w:val="clear" w:color="auto" w:fill="auto"/>
            <w:vAlign w:val="center"/>
          </w:tcPr>
          <w:p w14:paraId="110FD52C">
            <w:pPr>
              <w:widowControl/>
              <w:spacing w:line="240" w:lineRule="atLeast"/>
              <w:jc w:val="center"/>
              <w:rPr>
                <w:rFonts w:ascii="Times New Roman" w:hAnsi="Times New Roman" w:eastAsia="宋体" w:cs="Times New Roman"/>
                <w:szCs w:val="24"/>
              </w:rPr>
            </w:pPr>
            <w:r>
              <w:rPr>
                <w:rFonts w:hint="eastAsia" w:ascii="Arial" w:hAnsi="Arial" w:eastAsia="宋体" w:cs="Arial"/>
                <w:b w:val="0"/>
                <w:bCs w:val="0"/>
                <w:szCs w:val="21"/>
                <w:shd w:val="clear" w:color="auto" w:fill="FFFFFF"/>
              </w:rPr>
              <w:t>光束线控制接插件</w:t>
            </w:r>
          </w:p>
        </w:tc>
        <w:tc>
          <w:tcPr>
            <w:tcW w:w="5244" w:type="dxa"/>
            <w:tcBorders>
              <w:bottom w:val="single" w:color="auto" w:sz="4" w:space="0"/>
            </w:tcBorders>
            <w:shd w:val="clear" w:color="auto" w:fill="auto"/>
            <w:vAlign w:val="center"/>
          </w:tcPr>
          <w:p w14:paraId="35536CAE">
            <w:pPr>
              <w:widowControl/>
              <w:ind w:firstLine="420"/>
              <w:jc w:val="left"/>
              <w:rPr>
                <w:bCs/>
                <w:sz w:val="22"/>
                <w:szCs w:val="24"/>
              </w:rPr>
            </w:pPr>
            <w:r>
              <w:rPr>
                <w:rFonts w:hint="eastAsia"/>
                <w:kern w:val="0"/>
                <w:sz w:val="22"/>
                <w:szCs w:val="21"/>
              </w:rPr>
              <w:t>本次拟采购一批19芯与8芯工业级圆形连接器用于合肥先进光源光束线步进电机运动控制信号的连接。</w:t>
            </w:r>
            <w:r>
              <w:rPr>
                <w:rFonts w:hint="eastAsia"/>
                <w:sz w:val="22"/>
                <w:szCs w:val="21"/>
              </w:rPr>
              <w:t>采购</w:t>
            </w:r>
            <w:r>
              <w:rPr>
                <w:bCs/>
                <w:sz w:val="22"/>
                <w:szCs w:val="24"/>
              </w:rPr>
              <w:t>清单</w:t>
            </w:r>
            <w:r>
              <w:rPr>
                <w:rFonts w:hint="eastAsia"/>
                <w:bCs/>
                <w:sz w:val="22"/>
                <w:szCs w:val="24"/>
              </w:rPr>
              <w:t>表</w:t>
            </w:r>
            <w:r>
              <w:rPr>
                <w:bCs/>
                <w:sz w:val="22"/>
                <w:szCs w:val="24"/>
              </w:rPr>
              <w:t>如下</w:t>
            </w:r>
            <w:r>
              <w:rPr>
                <w:rFonts w:hint="eastAsia"/>
                <w:bCs/>
                <w:sz w:val="22"/>
                <w:szCs w:val="24"/>
              </w:rPr>
              <w:t>：</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2428"/>
              <w:gridCol w:w="1234"/>
            </w:tblGrid>
            <w:tr w14:paraId="3503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0B412906">
                  <w:pPr>
                    <w:spacing w:line="360" w:lineRule="auto"/>
                    <w:jc w:val="left"/>
                    <w:rPr>
                      <w:bCs/>
                      <w:sz w:val="22"/>
                      <w:szCs w:val="24"/>
                    </w:rPr>
                  </w:pPr>
                  <w:r>
                    <w:rPr>
                      <w:rFonts w:hint="eastAsia"/>
                      <w:bCs/>
                      <w:sz w:val="22"/>
                      <w:szCs w:val="24"/>
                    </w:rPr>
                    <w:t>序号</w:t>
                  </w:r>
                </w:p>
              </w:tc>
              <w:tc>
                <w:tcPr>
                  <w:tcW w:w="2428" w:type="dxa"/>
                </w:tcPr>
                <w:p w14:paraId="5C7D31BD">
                  <w:pPr>
                    <w:spacing w:line="360" w:lineRule="auto"/>
                    <w:jc w:val="left"/>
                    <w:rPr>
                      <w:bCs/>
                      <w:sz w:val="22"/>
                      <w:szCs w:val="24"/>
                    </w:rPr>
                  </w:pPr>
                  <w:r>
                    <w:rPr>
                      <w:rFonts w:hint="eastAsia"/>
                      <w:bCs/>
                      <w:sz w:val="22"/>
                      <w:szCs w:val="24"/>
                    </w:rPr>
                    <w:t>名称</w:t>
                  </w:r>
                </w:p>
              </w:tc>
              <w:tc>
                <w:tcPr>
                  <w:tcW w:w="1234" w:type="dxa"/>
                </w:tcPr>
                <w:p w14:paraId="49EA1A64">
                  <w:pPr>
                    <w:spacing w:line="360" w:lineRule="auto"/>
                    <w:jc w:val="center"/>
                    <w:rPr>
                      <w:bCs/>
                      <w:sz w:val="22"/>
                      <w:szCs w:val="24"/>
                    </w:rPr>
                  </w:pPr>
                  <w:r>
                    <w:rPr>
                      <w:bCs/>
                      <w:sz w:val="22"/>
                      <w:szCs w:val="24"/>
                    </w:rPr>
                    <w:t>数量</w:t>
                  </w:r>
                  <w:r>
                    <w:rPr>
                      <w:rFonts w:hint="eastAsia"/>
                      <w:bCs/>
                      <w:sz w:val="22"/>
                      <w:szCs w:val="24"/>
                    </w:rPr>
                    <w:t>/支</w:t>
                  </w:r>
                </w:p>
              </w:tc>
            </w:tr>
            <w:tr w14:paraId="698C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7B6BCE03">
                  <w:pPr>
                    <w:spacing w:line="360" w:lineRule="auto"/>
                    <w:jc w:val="left"/>
                    <w:rPr>
                      <w:kern w:val="0"/>
                      <w:sz w:val="22"/>
                      <w:szCs w:val="21"/>
                    </w:rPr>
                  </w:pPr>
                  <w:r>
                    <w:rPr>
                      <w:rFonts w:hint="eastAsia"/>
                      <w:kern w:val="0"/>
                      <w:sz w:val="22"/>
                      <w:szCs w:val="21"/>
                    </w:rPr>
                    <w:t>1</w:t>
                  </w:r>
                </w:p>
              </w:tc>
              <w:tc>
                <w:tcPr>
                  <w:tcW w:w="2428" w:type="dxa"/>
                </w:tcPr>
                <w:p w14:paraId="5CFC8860">
                  <w:pPr>
                    <w:spacing w:line="360" w:lineRule="auto"/>
                    <w:jc w:val="left"/>
                    <w:rPr>
                      <w:kern w:val="0"/>
                      <w:sz w:val="22"/>
                      <w:szCs w:val="21"/>
                    </w:rPr>
                  </w:pPr>
                  <w:r>
                    <w:rPr>
                      <w:rFonts w:hint="eastAsia"/>
                      <w:kern w:val="0"/>
                      <w:sz w:val="22"/>
                      <w:szCs w:val="21"/>
                    </w:rPr>
                    <w:t>8芯</w:t>
                  </w:r>
                  <w:r>
                    <w:rPr>
                      <w:kern w:val="0"/>
                      <w:sz w:val="22"/>
                      <w:szCs w:val="21"/>
                    </w:rPr>
                    <w:t>直式电缆</w:t>
                  </w:r>
                  <w:r>
                    <w:rPr>
                      <w:rFonts w:hint="eastAsia"/>
                      <w:kern w:val="0"/>
                      <w:sz w:val="22"/>
                      <w:szCs w:val="21"/>
                    </w:rPr>
                    <w:t>插头</w:t>
                  </w:r>
                </w:p>
              </w:tc>
              <w:tc>
                <w:tcPr>
                  <w:tcW w:w="1234" w:type="dxa"/>
                </w:tcPr>
                <w:p w14:paraId="5F08A41D">
                  <w:pPr>
                    <w:spacing w:line="360" w:lineRule="auto"/>
                    <w:jc w:val="center"/>
                    <w:rPr>
                      <w:kern w:val="0"/>
                      <w:sz w:val="22"/>
                      <w:szCs w:val="21"/>
                    </w:rPr>
                  </w:pPr>
                  <w:r>
                    <w:rPr>
                      <w:rFonts w:hint="eastAsia"/>
                      <w:kern w:val="0"/>
                      <w:sz w:val="22"/>
                      <w:szCs w:val="21"/>
                    </w:rPr>
                    <w:t>500</w:t>
                  </w:r>
                </w:p>
              </w:tc>
            </w:tr>
            <w:tr w14:paraId="5973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1D2F665C">
                  <w:pPr>
                    <w:spacing w:line="360" w:lineRule="auto"/>
                    <w:jc w:val="left"/>
                    <w:rPr>
                      <w:kern w:val="0"/>
                      <w:sz w:val="22"/>
                      <w:szCs w:val="21"/>
                    </w:rPr>
                  </w:pPr>
                  <w:r>
                    <w:rPr>
                      <w:rFonts w:hint="eastAsia"/>
                      <w:kern w:val="0"/>
                      <w:sz w:val="22"/>
                      <w:szCs w:val="21"/>
                    </w:rPr>
                    <w:t>2</w:t>
                  </w:r>
                </w:p>
              </w:tc>
              <w:tc>
                <w:tcPr>
                  <w:tcW w:w="2428" w:type="dxa"/>
                </w:tcPr>
                <w:p w14:paraId="0C6DCCDF">
                  <w:pPr>
                    <w:spacing w:line="360" w:lineRule="auto"/>
                    <w:jc w:val="left"/>
                    <w:rPr>
                      <w:kern w:val="0"/>
                      <w:sz w:val="22"/>
                      <w:szCs w:val="21"/>
                    </w:rPr>
                  </w:pPr>
                  <w:r>
                    <w:rPr>
                      <w:rFonts w:hint="eastAsia"/>
                      <w:kern w:val="0"/>
                      <w:sz w:val="22"/>
                      <w:szCs w:val="21"/>
                    </w:rPr>
                    <w:t>8芯线缆卡箍</w:t>
                  </w:r>
                </w:p>
              </w:tc>
              <w:tc>
                <w:tcPr>
                  <w:tcW w:w="1234" w:type="dxa"/>
                </w:tcPr>
                <w:p w14:paraId="6B593C82">
                  <w:pPr>
                    <w:spacing w:line="360" w:lineRule="auto"/>
                    <w:jc w:val="center"/>
                    <w:rPr>
                      <w:kern w:val="0"/>
                      <w:sz w:val="22"/>
                      <w:szCs w:val="21"/>
                    </w:rPr>
                  </w:pPr>
                  <w:r>
                    <w:rPr>
                      <w:rFonts w:hint="eastAsia"/>
                      <w:kern w:val="0"/>
                      <w:sz w:val="22"/>
                      <w:szCs w:val="21"/>
                    </w:rPr>
                    <w:t>500</w:t>
                  </w:r>
                </w:p>
              </w:tc>
            </w:tr>
            <w:tr w14:paraId="4AE2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672E0F08">
                  <w:pPr>
                    <w:spacing w:line="360" w:lineRule="auto"/>
                    <w:jc w:val="left"/>
                    <w:rPr>
                      <w:kern w:val="0"/>
                      <w:sz w:val="22"/>
                      <w:szCs w:val="21"/>
                    </w:rPr>
                  </w:pPr>
                  <w:r>
                    <w:rPr>
                      <w:rFonts w:hint="eastAsia"/>
                      <w:kern w:val="0"/>
                      <w:sz w:val="22"/>
                      <w:szCs w:val="21"/>
                    </w:rPr>
                    <w:t>3</w:t>
                  </w:r>
                </w:p>
              </w:tc>
              <w:tc>
                <w:tcPr>
                  <w:tcW w:w="2428" w:type="dxa"/>
                </w:tcPr>
                <w:p w14:paraId="777298A2">
                  <w:pPr>
                    <w:spacing w:line="360" w:lineRule="auto"/>
                    <w:jc w:val="left"/>
                    <w:rPr>
                      <w:kern w:val="0"/>
                      <w:sz w:val="22"/>
                      <w:szCs w:val="21"/>
                    </w:rPr>
                  </w:pPr>
                  <w:r>
                    <w:rPr>
                      <w:rFonts w:hint="eastAsia"/>
                      <w:kern w:val="0"/>
                      <w:sz w:val="22"/>
                      <w:szCs w:val="21"/>
                    </w:rPr>
                    <w:t>19芯金属线缆插头</w:t>
                  </w:r>
                </w:p>
              </w:tc>
              <w:tc>
                <w:tcPr>
                  <w:tcW w:w="1234" w:type="dxa"/>
                </w:tcPr>
                <w:p w14:paraId="02567C10">
                  <w:pPr>
                    <w:spacing w:line="360" w:lineRule="auto"/>
                    <w:jc w:val="center"/>
                    <w:rPr>
                      <w:kern w:val="0"/>
                      <w:sz w:val="22"/>
                      <w:szCs w:val="21"/>
                    </w:rPr>
                  </w:pPr>
                  <w:r>
                    <w:rPr>
                      <w:rFonts w:hint="eastAsia"/>
                      <w:kern w:val="0"/>
                      <w:sz w:val="22"/>
                      <w:szCs w:val="21"/>
                    </w:rPr>
                    <w:t>1800</w:t>
                  </w:r>
                </w:p>
              </w:tc>
            </w:tr>
            <w:tr w14:paraId="3A05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3D8FEE4C">
                  <w:pPr>
                    <w:spacing w:line="360" w:lineRule="auto"/>
                    <w:jc w:val="left"/>
                    <w:rPr>
                      <w:kern w:val="0"/>
                      <w:sz w:val="22"/>
                      <w:szCs w:val="21"/>
                    </w:rPr>
                  </w:pPr>
                  <w:r>
                    <w:rPr>
                      <w:rFonts w:hint="eastAsia"/>
                      <w:kern w:val="0"/>
                      <w:sz w:val="22"/>
                      <w:szCs w:val="21"/>
                    </w:rPr>
                    <w:t>4</w:t>
                  </w:r>
                </w:p>
              </w:tc>
              <w:tc>
                <w:tcPr>
                  <w:tcW w:w="2428" w:type="dxa"/>
                </w:tcPr>
                <w:p w14:paraId="092CF2DD">
                  <w:pPr>
                    <w:spacing w:line="360" w:lineRule="auto"/>
                    <w:jc w:val="left"/>
                    <w:rPr>
                      <w:kern w:val="0"/>
                      <w:sz w:val="22"/>
                      <w:szCs w:val="21"/>
                    </w:rPr>
                  </w:pPr>
                  <w:r>
                    <w:rPr>
                      <w:rFonts w:hint="eastAsia"/>
                      <w:kern w:val="0"/>
                      <w:sz w:val="22"/>
                      <w:szCs w:val="21"/>
                    </w:rPr>
                    <w:t>19芯防水线缆卡箍</w:t>
                  </w:r>
                </w:p>
              </w:tc>
              <w:tc>
                <w:tcPr>
                  <w:tcW w:w="1234" w:type="dxa"/>
                </w:tcPr>
                <w:p w14:paraId="1C6DC401">
                  <w:pPr>
                    <w:spacing w:line="360" w:lineRule="auto"/>
                    <w:jc w:val="center"/>
                    <w:rPr>
                      <w:kern w:val="0"/>
                      <w:sz w:val="22"/>
                      <w:szCs w:val="21"/>
                    </w:rPr>
                  </w:pPr>
                  <w:r>
                    <w:rPr>
                      <w:rFonts w:hint="eastAsia"/>
                      <w:kern w:val="0"/>
                      <w:sz w:val="22"/>
                      <w:szCs w:val="21"/>
                    </w:rPr>
                    <w:t>1800</w:t>
                  </w:r>
                </w:p>
              </w:tc>
            </w:tr>
            <w:tr w14:paraId="30D7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348A2D48">
                  <w:pPr>
                    <w:spacing w:line="360" w:lineRule="auto"/>
                    <w:jc w:val="left"/>
                    <w:rPr>
                      <w:kern w:val="0"/>
                      <w:sz w:val="22"/>
                      <w:szCs w:val="21"/>
                    </w:rPr>
                  </w:pPr>
                  <w:r>
                    <w:rPr>
                      <w:rFonts w:hint="eastAsia"/>
                      <w:kern w:val="0"/>
                      <w:sz w:val="22"/>
                      <w:szCs w:val="21"/>
                    </w:rPr>
                    <w:t>5</w:t>
                  </w:r>
                </w:p>
              </w:tc>
              <w:tc>
                <w:tcPr>
                  <w:tcW w:w="2428" w:type="dxa"/>
                  <w:vAlign w:val="center"/>
                </w:tcPr>
                <w:p w14:paraId="230538A6">
                  <w:pPr>
                    <w:spacing w:line="360" w:lineRule="auto"/>
                    <w:jc w:val="left"/>
                    <w:rPr>
                      <w:kern w:val="0"/>
                      <w:sz w:val="22"/>
                      <w:szCs w:val="21"/>
                    </w:rPr>
                  </w:pPr>
                  <w:r>
                    <w:rPr>
                      <w:rFonts w:hint="eastAsia"/>
                      <w:kern w:val="0"/>
                      <w:sz w:val="22"/>
                      <w:szCs w:val="21"/>
                    </w:rPr>
                    <w:t>8芯面板安装插座</w:t>
                  </w:r>
                </w:p>
              </w:tc>
              <w:tc>
                <w:tcPr>
                  <w:tcW w:w="1234" w:type="dxa"/>
                </w:tcPr>
                <w:p w14:paraId="1A5B04E2">
                  <w:pPr>
                    <w:spacing w:line="360" w:lineRule="auto"/>
                    <w:jc w:val="center"/>
                    <w:rPr>
                      <w:kern w:val="0"/>
                      <w:sz w:val="22"/>
                      <w:szCs w:val="21"/>
                    </w:rPr>
                  </w:pPr>
                  <w:r>
                    <w:rPr>
                      <w:rFonts w:hint="eastAsia"/>
                      <w:kern w:val="0"/>
                      <w:sz w:val="22"/>
                      <w:szCs w:val="21"/>
                    </w:rPr>
                    <w:t>100</w:t>
                  </w:r>
                </w:p>
              </w:tc>
            </w:tr>
            <w:tr w14:paraId="5FFA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49786DEA">
                  <w:pPr>
                    <w:spacing w:line="360" w:lineRule="auto"/>
                    <w:jc w:val="left"/>
                    <w:rPr>
                      <w:kern w:val="0"/>
                      <w:sz w:val="22"/>
                      <w:szCs w:val="21"/>
                    </w:rPr>
                  </w:pPr>
                  <w:r>
                    <w:rPr>
                      <w:rFonts w:hint="eastAsia"/>
                      <w:kern w:val="0"/>
                      <w:sz w:val="22"/>
                      <w:szCs w:val="21"/>
                    </w:rPr>
                    <w:t>6</w:t>
                  </w:r>
                </w:p>
              </w:tc>
              <w:tc>
                <w:tcPr>
                  <w:tcW w:w="2428" w:type="dxa"/>
                </w:tcPr>
                <w:p w14:paraId="7462063A">
                  <w:pPr>
                    <w:spacing w:line="360" w:lineRule="auto"/>
                    <w:jc w:val="left"/>
                    <w:rPr>
                      <w:kern w:val="0"/>
                      <w:sz w:val="22"/>
                      <w:szCs w:val="21"/>
                    </w:rPr>
                  </w:pPr>
                  <w:r>
                    <w:rPr>
                      <w:rFonts w:hint="eastAsia"/>
                      <w:kern w:val="0"/>
                      <w:sz w:val="22"/>
                      <w:szCs w:val="21"/>
                    </w:rPr>
                    <w:t>19芯面板安装插座</w:t>
                  </w:r>
                </w:p>
              </w:tc>
              <w:tc>
                <w:tcPr>
                  <w:tcW w:w="1234" w:type="dxa"/>
                </w:tcPr>
                <w:p w14:paraId="6F95C6D8">
                  <w:pPr>
                    <w:spacing w:line="360" w:lineRule="auto"/>
                    <w:jc w:val="center"/>
                    <w:rPr>
                      <w:kern w:val="0"/>
                      <w:sz w:val="22"/>
                      <w:szCs w:val="21"/>
                    </w:rPr>
                  </w:pPr>
                  <w:r>
                    <w:rPr>
                      <w:rFonts w:hint="eastAsia"/>
                      <w:kern w:val="0"/>
                      <w:sz w:val="22"/>
                      <w:szCs w:val="21"/>
                    </w:rPr>
                    <w:t>100</w:t>
                  </w:r>
                </w:p>
              </w:tc>
            </w:tr>
            <w:tr w14:paraId="07EC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04D35C70">
                  <w:pPr>
                    <w:spacing w:line="360" w:lineRule="auto"/>
                    <w:jc w:val="left"/>
                    <w:rPr>
                      <w:kern w:val="0"/>
                      <w:sz w:val="22"/>
                      <w:szCs w:val="21"/>
                    </w:rPr>
                  </w:pPr>
                  <w:r>
                    <w:rPr>
                      <w:rFonts w:hint="eastAsia"/>
                      <w:kern w:val="0"/>
                      <w:sz w:val="22"/>
                      <w:szCs w:val="21"/>
                    </w:rPr>
                    <w:t>7</w:t>
                  </w:r>
                </w:p>
              </w:tc>
              <w:tc>
                <w:tcPr>
                  <w:tcW w:w="2428" w:type="dxa"/>
                </w:tcPr>
                <w:p w14:paraId="1601AE27">
                  <w:pPr>
                    <w:spacing w:line="360" w:lineRule="auto"/>
                    <w:jc w:val="left"/>
                    <w:rPr>
                      <w:kern w:val="0"/>
                      <w:sz w:val="22"/>
                      <w:szCs w:val="21"/>
                    </w:rPr>
                  </w:pPr>
                  <w:r>
                    <w:rPr>
                      <w:kern w:val="0"/>
                      <w:sz w:val="22"/>
                      <w:szCs w:val="21"/>
                    </w:rPr>
                    <w:t>粗</w:t>
                  </w:r>
                  <w:r>
                    <w:rPr>
                      <w:rFonts w:hint="eastAsia"/>
                      <w:kern w:val="0"/>
                      <w:sz w:val="22"/>
                      <w:szCs w:val="21"/>
                    </w:rPr>
                    <w:t>插</w:t>
                  </w:r>
                  <w:r>
                    <w:rPr>
                      <w:kern w:val="0"/>
                      <w:sz w:val="22"/>
                      <w:szCs w:val="21"/>
                    </w:rPr>
                    <w:t>针</w:t>
                  </w:r>
                  <w:r>
                    <w:rPr>
                      <w:rFonts w:hint="eastAsia"/>
                      <w:kern w:val="0"/>
                      <w:sz w:val="22"/>
                      <w:szCs w:val="21"/>
                    </w:rPr>
                    <w:t>触点</w:t>
                  </w:r>
                </w:p>
              </w:tc>
              <w:tc>
                <w:tcPr>
                  <w:tcW w:w="1234" w:type="dxa"/>
                </w:tcPr>
                <w:p w14:paraId="5982BF2B">
                  <w:pPr>
                    <w:spacing w:line="360" w:lineRule="auto"/>
                    <w:jc w:val="center"/>
                    <w:rPr>
                      <w:kern w:val="0"/>
                      <w:sz w:val="22"/>
                      <w:szCs w:val="21"/>
                    </w:rPr>
                  </w:pPr>
                  <w:r>
                    <w:rPr>
                      <w:rFonts w:hint="eastAsia"/>
                      <w:kern w:val="0"/>
                      <w:sz w:val="22"/>
                      <w:szCs w:val="21"/>
                    </w:rPr>
                    <w:t>14400</w:t>
                  </w:r>
                </w:p>
              </w:tc>
            </w:tr>
            <w:tr w14:paraId="2089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4B4321CF">
                  <w:pPr>
                    <w:spacing w:line="360" w:lineRule="auto"/>
                    <w:jc w:val="left"/>
                    <w:rPr>
                      <w:kern w:val="0"/>
                      <w:sz w:val="22"/>
                      <w:szCs w:val="21"/>
                    </w:rPr>
                  </w:pPr>
                  <w:r>
                    <w:rPr>
                      <w:rFonts w:hint="eastAsia"/>
                      <w:kern w:val="0"/>
                      <w:sz w:val="22"/>
                      <w:szCs w:val="21"/>
                    </w:rPr>
                    <w:t>8</w:t>
                  </w:r>
                </w:p>
              </w:tc>
              <w:tc>
                <w:tcPr>
                  <w:tcW w:w="2428" w:type="dxa"/>
                </w:tcPr>
                <w:p w14:paraId="6974F1D7">
                  <w:pPr>
                    <w:spacing w:line="360" w:lineRule="auto"/>
                    <w:jc w:val="left"/>
                    <w:rPr>
                      <w:kern w:val="0"/>
                      <w:sz w:val="22"/>
                      <w:szCs w:val="21"/>
                    </w:rPr>
                  </w:pPr>
                  <w:r>
                    <w:rPr>
                      <w:rFonts w:hint="eastAsia"/>
                      <w:kern w:val="0"/>
                      <w:sz w:val="22"/>
                      <w:szCs w:val="21"/>
                    </w:rPr>
                    <w:t>细插</w:t>
                  </w:r>
                  <w:r>
                    <w:rPr>
                      <w:kern w:val="0"/>
                      <w:sz w:val="22"/>
                      <w:szCs w:val="21"/>
                    </w:rPr>
                    <w:t>针</w:t>
                  </w:r>
                  <w:r>
                    <w:rPr>
                      <w:rFonts w:hint="eastAsia"/>
                      <w:kern w:val="0"/>
                      <w:sz w:val="22"/>
                      <w:szCs w:val="21"/>
                    </w:rPr>
                    <w:t>触点</w:t>
                  </w:r>
                </w:p>
              </w:tc>
              <w:tc>
                <w:tcPr>
                  <w:tcW w:w="1234" w:type="dxa"/>
                </w:tcPr>
                <w:p w14:paraId="466EB7AC">
                  <w:pPr>
                    <w:spacing w:line="360" w:lineRule="auto"/>
                    <w:jc w:val="center"/>
                    <w:rPr>
                      <w:kern w:val="0"/>
                      <w:sz w:val="22"/>
                      <w:szCs w:val="21"/>
                    </w:rPr>
                  </w:pPr>
                  <w:r>
                    <w:rPr>
                      <w:rFonts w:hint="eastAsia"/>
                      <w:kern w:val="0"/>
                      <w:sz w:val="22"/>
                      <w:szCs w:val="21"/>
                    </w:rPr>
                    <w:t>14800</w:t>
                  </w:r>
                </w:p>
              </w:tc>
            </w:tr>
            <w:tr w14:paraId="65BD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677" w:type="dxa"/>
                </w:tcPr>
                <w:p w14:paraId="023EE0DA">
                  <w:pPr>
                    <w:spacing w:line="360" w:lineRule="auto"/>
                    <w:jc w:val="left"/>
                    <w:rPr>
                      <w:kern w:val="0"/>
                      <w:sz w:val="22"/>
                      <w:szCs w:val="21"/>
                    </w:rPr>
                  </w:pPr>
                  <w:r>
                    <w:rPr>
                      <w:rFonts w:hint="eastAsia"/>
                      <w:kern w:val="0"/>
                      <w:sz w:val="22"/>
                      <w:szCs w:val="21"/>
                    </w:rPr>
                    <w:t>9</w:t>
                  </w:r>
                </w:p>
              </w:tc>
              <w:tc>
                <w:tcPr>
                  <w:tcW w:w="2428" w:type="dxa"/>
                </w:tcPr>
                <w:p w14:paraId="4144CDE2">
                  <w:pPr>
                    <w:spacing w:line="360" w:lineRule="auto"/>
                    <w:jc w:val="left"/>
                    <w:rPr>
                      <w:kern w:val="0"/>
                      <w:sz w:val="22"/>
                      <w:szCs w:val="21"/>
                    </w:rPr>
                  </w:pPr>
                  <w:r>
                    <w:rPr>
                      <w:kern w:val="0"/>
                      <w:sz w:val="22"/>
                      <w:szCs w:val="21"/>
                    </w:rPr>
                    <w:t>粗</w:t>
                  </w:r>
                  <w:r>
                    <w:rPr>
                      <w:rFonts w:hint="eastAsia"/>
                      <w:kern w:val="0"/>
                      <w:sz w:val="22"/>
                      <w:szCs w:val="21"/>
                    </w:rPr>
                    <w:t>插孔触点</w:t>
                  </w:r>
                </w:p>
              </w:tc>
              <w:tc>
                <w:tcPr>
                  <w:tcW w:w="1234" w:type="dxa"/>
                </w:tcPr>
                <w:p w14:paraId="079B23E9">
                  <w:pPr>
                    <w:spacing w:line="360" w:lineRule="auto"/>
                    <w:jc w:val="center"/>
                    <w:rPr>
                      <w:kern w:val="0"/>
                      <w:sz w:val="22"/>
                      <w:szCs w:val="21"/>
                    </w:rPr>
                  </w:pPr>
                  <w:r>
                    <w:rPr>
                      <w:rFonts w:hint="eastAsia"/>
                      <w:kern w:val="0"/>
                      <w:sz w:val="22"/>
                      <w:szCs w:val="21"/>
                    </w:rPr>
                    <w:t>2000</w:t>
                  </w:r>
                </w:p>
              </w:tc>
            </w:tr>
            <w:tr w14:paraId="5C08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7" w:type="dxa"/>
                </w:tcPr>
                <w:p w14:paraId="4F611290">
                  <w:pPr>
                    <w:spacing w:line="360" w:lineRule="auto"/>
                    <w:jc w:val="left"/>
                    <w:rPr>
                      <w:kern w:val="0"/>
                      <w:sz w:val="22"/>
                      <w:szCs w:val="21"/>
                    </w:rPr>
                  </w:pPr>
                  <w:r>
                    <w:rPr>
                      <w:rFonts w:hint="eastAsia"/>
                      <w:kern w:val="0"/>
                      <w:sz w:val="22"/>
                      <w:szCs w:val="21"/>
                    </w:rPr>
                    <w:t>10</w:t>
                  </w:r>
                </w:p>
              </w:tc>
              <w:tc>
                <w:tcPr>
                  <w:tcW w:w="2428" w:type="dxa"/>
                </w:tcPr>
                <w:p w14:paraId="5A11EB90">
                  <w:pPr>
                    <w:spacing w:line="360" w:lineRule="auto"/>
                    <w:jc w:val="left"/>
                    <w:rPr>
                      <w:kern w:val="0"/>
                      <w:sz w:val="22"/>
                      <w:szCs w:val="21"/>
                    </w:rPr>
                  </w:pPr>
                  <w:bookmarkStart w:id="0" w:name="OLE_LINK6"/>
                  <w:bookmarkStart w:id="1" w:name="OLE_LINK7"/>
                  <w:r>
                    <w:rPr>
                      <w:rFonts w:hint="eastAsia"/>
                      <w:kern w:val="0"/>
                      <w:sz w:val="22"/>
                      <w:szCs w:val="21"/>
                    </w:rPr>
                    <w:t>细插孔触点</w:t>
                  </w:r>
                  <w:bookmarkEnd w:id="0"/>
                  <w:bookmarkEnd w:id="1"/>
                </w:p>
              </w:tc>
              <w:tc>
                <w:tcPr>
                  <w:tcW w:w="1234" w:type="dxa"/>
                </w:tcPr>
                <w:p w14:paraId="7C86D790">
                  <w:pPr>
                    <w:spacing w:line="360" w:lineRule="auto"/>
                    <w:jc w:val="center"/>
                    <w:rPr>
                      <w:kern w:val="0"/>
                      <w:sz w:val="22"/>
                      <w:szCs w:val="21"/>
                    </w:rPr>
                  </w:pPr>
                  <w:r>
                    <w:rPr>
                      <w:rFonts w:hint="eastAsia"/>
                      <w:kern w:val="0"/>
                      <w:sz w:val="22"/>
                      <w:szCs w:val="21"/>
                    </w:rPr>
                    <w:t>2000</w:t>
                  </w:r>
                </w:p>
              </w:tc>
            </w:tr>
          </w:tbl>
          <w:p w14:paraId="16F15DB4">
            <w:pPr>
              <w:widowControl/>
              <w:ind w:firstLine="420"/>
              <w:jc w:val="left"/>
              <w:rPr>
                <w:b/>
                <w:bCs/>
                <w:kern w:val="0"/>
                <w:sz w:val="22"/>
                <w:szCs w:val="21"/>
              </w:rPr>
            </w:pPr>
            <w:r>
              <w:rPr>
                <w:rFonts w:hint="eastAsia"/>
                <w:b/>
                <w:bCs/>
                <w:kern w:val="0"/>
                <w:sz w:val="22"/>
                <w:szCs w:val="21"/>
              </w:rPr>
              <w:t>总体要求：</w:t>
            </w:r>
          </w:p>
          <w:p w14:paraId="2ADCB726">
            <w:pPr>
              <w:widowControl/>
              <w:ind w:firstLine="420"/>
              <w:jc w:val="left"/>
              <w:rPr>
                <w:kern w:val="0"/>
                <w:sz w:val="22"/>
                <w:szCs w:val="21"/>
              </w:rPr>
            </w:pPr>
            <w:r>
              <w:rPr>
                <w:rFonts w:hint="eastAsia"/>
                <w:kern w:val="0"/>
                <w:sz w:val="22"/>
                <w:szCs w:val="21"/>
              </w:rPr>
              <w:t>连接器主要由插座、插头、尾部附件等组成。工作时，卡口式连接器先通过引导键和引导槽定位，然后旋入三曲线槽；连接到位后通电进行电气连接。上述材料，序号1、2、5组件互相匹配成套；序号 3、4、6 组件互相匹配成套。</w:t>
            </w:r>
          </w:p>
          <w:p w14:paraId="706AFB2D">
            <w:pPr>
              <w:pStyle w:val="11"/>
              <w:widowControl/>
              <w:numPr>
                <w:ilvl w:val="0"/>
                <w:numId w:val="1"/>
              </w:numPr>
              <w:ind w:hanging="104" w:firstLineChars="0"/>
              <w:jc w:val="left"/>
              <w:rPr>
                <w:kern w:val="0"/>
                <w:sz w:val="22"/>
                <w:szCs w:val="21"/>
              </w:rPr>
            </w:pPr>
            <w:r>
              <w:rPr>
                <w:rFonts w:hint="eastAsia"/>
                <w:kern w:val="0"/>
                <w:sz w:val="22"/>
                <w:szCs w:val="21"/>
              </w:rPr>
              <w:t>接触件（插针或者插孔）材料采用优质铜合金，具有良好的导电性能、弹性和机械抗疲劳性；插孔采用爪簧孔，提高接触件的接触可靠性；全部接触件镀金采用酸性耐磨镀金工艺；</w:t>
            </w:r>
          </w:p>
          <w:p w14:paraId="7FB4FAF4">
            <w:pPr>
              <w:pStyle w:val="11"/>
              <w:widowControl/>
              <w:numPr>
                <w:ilvl w:val="0"/>
                <w:numId w:val="1"/>
              </w:numPr>
              <w:ind w:hanging="104" w:firstLineChars="0"/>
              <w:jc w:val="left"/>
              <w:rPr>
                <w:kern w:val="0"/>
                <w:sz w:val="22"/>
                <w:szCs w:val="21"/>
              </w:rPr>
            </w:pPr>
            <w:r>
              <w:rPr>
                <w:rFonts w:hint="eastAsia"/>
                <w:kern w:val="0"/>
                <w:sz w:val="22"/>
                <w:szCs w:val="21"/>
              </w:rPr>
              <w:t>上述所有材料须是同一品牌，不接受不同品牌组合；</w:t>
            </w:r>
          </w:p>
          <w:p w14:paraId="225E509E">
            <w:pPr>
              <w:pStyle w:val="11"/>
              <w:widowControl/>
              <w:numPr>
                <w:ilvl w:val="0"/>
                <w:numId w:val="1"/>
              </w:numPr>
              <w:ind w:hanging="104" w:firstLineChars="0"/>
              <w:jc w:val="left"/>
              <w:rPr>
                <w:kern w:val="0"/>
                <w:sz w:val="22"/>
                <w:szCs w:val="21"/>
              </w:rPr>
            </w:pPr>
            <w:r>
              <w:rPr>
                <w:rFonts w:hint="eastAsia"/>
                <w:kern w:val="0"/>
                <w:sz w:val="22"/>
                <w:szCs w:val="21"/>
              </w:rPr>
              <w:t>外观：产品激光丝印清晰、无毛刺、型号拼写正确；</w:t>
            </w:r>
          </w:p>
          <w:p w14:paraId="2E73C880">
            <w:pPr>
              <w:pStyle w:val="11"/>
              <w:widowControl/>
              <w:numPr>
                <w:ilvl w:val="0"/>
                <w:numId w:val="1"/>
              </w:numPr>
              <w:ind w:hanging="104" w:firstLineChars="0"/>
              <w:jc w:val="left"/>
              <w:rPr>
                <w:kern w:val="0"/>
                <w:sz w:val="22"/>
                <w:szCs w:val="21"/>
              </w:rPr>
            </w:pPr>
            <w:r>
              <w:rPr>
                <w:rFonts w:hint="eastAsia"/>
                <w:kern w:val="0"/>
                <w:sz w:val="22"/>
                <w:szCs w:val="21"/>
              </w:rPr>
              <w:t>互换性：在机械安装和性能方面，同型号规格品种的插头、插座之间应能完全互换；</w:t>
            </w:r>
          </w:p>
          <w:p w14:paraId="1D4155BC">
            <w:pPr>
              <w:pStyle w:val="11"/>
              <w:widowControl/>
              <w:numPr>
                <w:ilvl w:val="0"/>
                <w:numId w:val="1"/>
              </w:numPr>
              <w:ind w:hanging="104" w:firstLineChars="0"/>
              <w:jc w:val="left"/>
              <w:rPr>
                <w:kern w:val="0"/>
                <w:sz w:val="22"/>
                <w:szCs w:val="21"/>
              </w:rPr>
            </w:pPr>
            <w:r>
              <w:rPr>
                <w:rFonts w:hint="eastAsia"/>
                <w:kern w:val="0"/>
                <w:sz w:val="22"/>
                <w:szCs w:val="21"/>
              </w:rPr>
              <w:t>啮合和分离力：插合和分离成对连接器的扭矩应符合下表要求；</w:t>
            </w:r>
          </w:p>
          <w:tbl>
            <w:tblPr>
              <w:tblStyle w:val="5"/>
              <w:tblW w:w="4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2095"/>
              <w:gridCol w:w="1507"/>
            </w:tblGrid>
            <w:tr w14:paraId="1597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97" w:type="dxa"/>
                  <w:vAlign w:val="center"/>
                </w:tcPr>
                <w:p w14:paraId="6D81E560">
                  <w:pPr>
                    <w:widowControl/>
                    <w:jc w:val="center"/>
                    <w:rPr>
                      <w:color w:val="000000"/>
                      <w:kern w:val="0"/>
                      <w:sz w:val="21"/>
                      <w:szCs w:val="21"/>
                    </w:rPr>
                  </w:pPr>
                  <w:r>
                    <w:rPr>
                      <w:rFonts w:hint="eastAsia"/>
                      <w:color w:val="000000"/>
                      <w:kern w:val="0"/>
                      <w:sz w:val="21"/>
                      <w:szCs w:val="21"/>
                    </w:rPr>
                    <w:t>芯数</w:t>
                  </w:r>
                </w:p>
              </w:tc>
              <w:tc>
                <w:tcPr>
                  <w:tcW w:w="2095" w:type="dxa"/>
                  <w:vAlign w:val="center"/>
                </w:tcPr>
                <w:p w14:paraId="2B499401">
                  <w:pPr>
                    <w:widowControl/>
                    <w:jc w:val="center"/>
                    <w:rPr>
                      <w:color w:val="000000"/>
                      <w:kern w:val="0"/>
                      <w:sz w:val="21"/>
                      <w:szCs w:val="21"/>
                    </w:rPr>
                  </w:pPr>
                  <w:r>
                    <w:rPr>
                      <w:rFonts w:hint="eastAsia"/>
                      <w:color w:val="000000"/>
                      <w:kern w:val="0"/>
                      <w:sz w:val="21"/>
                      <w:szCs w:val="21"/>
                    </w:rPr>
                    <w:t>最大啮合力和分离力</w:t>
                  </w:r>
                  <w:r>
                    <w:rPr>
                      <w:color w:val="000000"/>
                      <w:kern w:val="0"/>
                      <w:sz w:val="21"/>
                      <w:szCs w:val="21"/>
                    </w:rPr>
                    <w:t>N·m</w:t>
                  </w:r>
                </w:p>
              </w:tc>
              <w:tc>
                <w:tcPr>
                  <w:tcW w:w="1507" w:type="dxa"/>
                  <w:vAlign w:val="center"/>
                </w:tcPr>
                <w:p w14:paraId="40BFB538">
                  <w:pPr>
                    <w:widowControl/>
                    <w:jc w:val="center"/>
                    <w:rPr>
                      <w:color w:val="000000"/>
                      <w:kern w:val="0"/>
                      <w:sz w:val="21"/>
                      <w:szCs w:val="21"/>
                    </w:rPr>
                  </w:pPr>
                  <w:r>
                    <w:rPr>
                      <w:rFonts w:hint="eastAsia"/>
                      <w:color w:val="000000"/>
                      <w:kern w:val="0"/>
                      <w:sz w:val="21"/>
                      <w:szCs w:val="21"/>
                    </w:rPr>
                    <w:t>最小分离力</w:t>
                  </w:r>
                  <w:r>
                    <w:rPr>
                      <w:color w:val="000000"/>
                      <w:kern w:val="0"/>
                      <w:sz w:val="21"/>
                      <w:szCs w:val="21"/>
                    </w:rPr>
                    <w:t>N·m</w:t>
                  </w:r>
                </w:p>
              </w:tc>
            </w:tr>
            <w:tr w14:paraId="226E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097" w:type="dxa"/>
                  <w:vAlign w:val="center"/>
                </w:tcPr>
                <w:p w14:paraId="00094393">
                  <w:pPr>
                    <w:widowControl/>
                    <w:jc w:val="center"/>
                    <w:rPr>
                      <w:color w:val="000000"/>
                      <w:kern w:val="0"/>
                      <w:sz w:val="21"/>
                      <w:szCs w:val="21"/>
                    </w:rPr>
                  </w:pPr>
                  <w:r>
                    <w:rPr>
                      <w:rFonts w:hint="eastAsia"/>
                      <w:color w:val="000000"/>
                      <w:kern w:val="0"/>
                      <w:sz w:val="21"/>
                      <w:szCs w:val="21"/>
                    </w:rPr>
                    <w:t>8</w:t>
                  </w:r>
                </w:p>
              </w:tc>
              <w:tc>
                <w:tcPr>
                  <w:tcW w:w="2095" w:type="dxa"/>
                  <w:vAlign w:val="center"/>
                </w:tcPr>
                <w:p w14:paraId="7E72080F">
                  <w:pPr>
                    <w:widowControl/>
                    <w:jc w:val="center"/>
                    <w:rPr>
                      <w:color w:val="000000"/>
                      <w:kern w:val="0"/>
                      <w:sz w:val="21"/>
                      <w:szCs w:val="21"/>
                    </w:rPr>
                  </w:pPr>
                  <w:r>
                    <w:rPr>
                      <w:color w:val="000000"/>
                      <w:kern w:val="0"/>
                      <w:sz w:val="21"/>
                      <w:szCs w:val="21"/>
                    </w:rPr>
                    <w:t>1.81</w:t>
                  </w:r>
                </w:p>
              </w:tc>
              <w:tc>
                <w:tcPr>
                  <w:tcW w:w="1507" w:type="dxa"/>
                  <w:vAlign w:val="center"/>
                </w:tcPr>
                <w:p w14:paraId="77AC275A">
                  <w:pPr>
                    <w:widowControl/>
                    <w:jc w:val="center"/>
                    <w:rPr>
                      <w:color w:val="000000"/>
                      <w:kern w:val="0"/>
                      <w:sz w:val="21"/>
                      <w:szCs w:val="21"/>
                    </w:rPr>
                  </w:pPr>
                  <w:r>
                    <w:rPr>
                      <w:color w:val="000000"/>
                      <w:kern w:val="0"/>
                      <w:sz w:val="21"/>
                      <w:szCs w:val="21"/>
                    </w:rPr>
                    <w:t>0.23</w:t>
                  </w:r>
                </w:p>
              </w:tc>
            </w:tr>
            <w:tr w14:paraId="0E0A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97" w:type="dxa"/>
                  <w:vAlign w:val="center"/>
                </w:tcPr>
                <w:p w14:paraId="06D35AD8">
                  <w:pPr>
                    <w:widowControl/>
                    <w:jc w:val="center"/>
                    <w:rPr>
                      <w:color w:val="000000"/>
                      <w:kern w:val="0"/>
                      <w:sz w:val="21"/>
                      <w:szCs w:val="21"/>
                    </w:rPr>
                  </w:pPr>
                  <w:r>
                    <w:rPr>
                      <w:rFonts w:hint="eastAsia"/>
                      <w:color w:val="000000"/>
                      <w:kern w:val="0"/>
                      <w:sz w:val="21"/>
                      <w:szCs w:val="21"/>
                    </w:rPr>
                    <w:t>19</w:t>
                  </w:r>
                </w:p>
              </w:tc>
              <w:tc>
                <w:tcPr>
                  <w:tcW w:w="2095" w:type="dxa"/>
                  <w:vAlign w:val="center"/>
                </w:tcPr>
                <w:p w14:paraId="7550CAE9">
                  <w:pPr>
                    <w:widowControl/>
                    <w:jc w:val="center"/>
                    <w:rPr>
                      <w:color w:val="000000"/>
                      <w:kern w:val="0"/>
                      <w:sz w:val="21"/>
                      <w:szCs w:val="21"/>
                    </w:rPr>
                  </w:pPr>
                  <w:r>
                    <w:rPr>
                      <w:color w:val="000000"/>
                      <w:kern w:val="0"/>
                      <w:sz w:val="21"/>
                      <w:szCs w:val="21"/>
                    </w:rPr>
                    <w:t>2.26</w:t>
                  </w:r>
                </w:p>
              </w:tc>
              <w:tc>
                <w:tcPr>
                  <w:tcW w:w="1507" w:type="dxa"/>
                  <w:vAlign w:val="center"/>
                </w:tcPr>
                <w:p w14:paraId="3785408F">
                  <w:pPr>
                    <w:widowControl/>
                    <w:jc w:val="center"/>
                    <w:rPr>
                      <w:color w:val="000000"/>
                      <w:kern w:val="0"/>
                      <w:sz w:val="21"/>
                      <w:szCs w:val="21"/>
                    </w:rPr>
                  </w:pPr>
                  <w:r>
                    <w:rPr>
                      <w:color w:val="000000"/>
                      <w:kern w:val="0"/>
                      <w:sz w:val="21"/>
                      <w:szCs w:val="21"/>
                    </w:rPr>
                    <w:t>0.45</w:t>
                  </w:r>
                </w:p>
              </w:tc>
            </w:tr>
          </w:tbl>
          <w:p w14:paraId="26F23F45">
            <w:pPr>
              <w:pStyle w:val="11"/>
              <w:numPr>
                <w:ilvl w:val="0"/>
                <w:numId w:val="0"/>
              </w:numPr>
              <w:ind w:left="360" w:leftChars="0" w:hanging="360" w:firstLineChars="0"/>
              <w:rPr>
                <w:rFonts w:hint="default" w:ascii="Arial" w:hAnsi="Arial" w:eastAsia="宋体" w:cs="Arial"/>
                <w:szCs w:val="21"/>
                <w:shd w:val="clear" w:color="auto" w:fill="FFFFFF"/>
                <w:lang w:val="en-US" w:eastAsia="zh-CN"/>
              </w:rPr>
            </w:pPr>
            <w:r>
              <w:rPr>
                <w:rFonts w:hint="eastAsia" w:ascii="Arial" w:hAnsi="Arial" w:cs="Arial"/>
                <w:szCs w:val="21"/>
                <w:shd w:val="clear" w:color="auto" w:fill="FFFFFF"/>
                <w:lang w:val="en-US" w:eastAsia="zh-CN"/>
              </w:rPr>
              <w:t>详见询价单</w:t>
            </w:r>
          </w:p>
        </w:tc>
        <w:tc>
          <w:tcPr>
            <w:tcW w:w="1418" w:type="dxa"/>
            <w:vAlign w:val="center"/>
          </w:tcPr>
          <w:p w14:paraId="205FF5AB">
            <w:pPr>
              <w:spacing w:line="240" w:lineRule="atLeast"/>
              <w:jc w:val="center"/>
            </w:pPr>
          </w:p>
        </w:tc>
        <w:tc>
          <w:tcPr>
            <w:tcW w:w="992" w:type="dxa"/>
            <w:vAlign w:val="center"/>
          </w:tcPr>
          <w:p w14:paraId="1C60665B">
            <w:pPr>
              <w:spacing w:line="240" w:lineRule="atLeast"/>
              <w:jc w:val="center"/>
            </w:pPr>
          </w:p>
        </w:tc>
      </w:tr>
      <w:tr w14:paraId="497E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6" w:hRule="atLeast"/>
        </w:trPr>
        <w:tc>
          <w:tcPr>
            <w:tcW w:w="705" w:type="dxa"/>
            <w:vAlign w:val="center"/>
          </w:tcPr>
          <w:p w14:paraId="21D5CC9B">
            <w:pPr>
              <w:spacing w:line="240" w:lineRule="atLeast"/>
              <w:jc w:val="center"/>
            </w:pPr>
            <w:r>
              <w:t>2</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2217188C">
            <w:pPr>
              <w:widowControl/>
              <w:spacing w:line="240" w:lineRule="atLeast"/>
              <w:jc w:val="center"/>
            </w:pPr>
            <w:r>
              <w:rPr>
                <w:rFonts w:hint="eastAsia"/>
              </w:rPr>
              <w:t>商务条款</w:t>
            </w:r>
          </w:p>
        </w:tc>
        <w:tc>
          <w:tcPr>
            <w:tcW w:w="5244" w:type="dxa"/>
            <w:tcBorders>
              <w:top w:val="single" w:color="auto" w:sz="4" w:space="0"/>
              <w:left w:val="nil"/>
              <w:bottom w:val="single" w:color="auto" w:sz="4" w:space="0"/>
              <w:right w:val="single" w:color="auto" w:sz="4" w:space="0"/>
            </w:tcBorders>
            <w:shd w:val="clear" w:color="auto" w:fill="auto"/>
            <w:vAlign w:val="center"/>
          </w:tcPr>
          <w:p w14:paraId="33AAFA31">
            <w:pPr>
              <w:spacing w:line="240" w:lineRule="auto"/>
              <w:jc w:val="left"/>
              <w:rPr>
                <w:kern w:val="0"/>
                <w:sz w:val="22"/>
                <w:szCs w:val="21"/>
              </w:rPr>
            </w:pPr>
            <w:r>
              <w:rPr>
                <w:rFonts w:hint="eastAsia"/>
                <w:b/>
                <w:sz w:val="24"/>
                <w:szCs w:val="28"/>
              </w:rPr>
              <w:t>其它：</w:t>
            </w:r>
            <w:r>
              <w:rPr>
                <w:rFonts w:hint="eastAsia"/>
                <w:kern w:val="0"/>
                <w:sz w:val="22"/>
                <w:szCs w:val="21"/>
              </w:rPr>
              <w:t>制造商需具备国军标质量管理体系、测量管理体系认证，报价时提供有效证明。</w:t>
            </w:r>
          </w:p>
          <w:p w14:paraId="7719E651">
            <w:pPr>
              <w:spacing w:line="240" w:lineRule="auto"/>
              <w:jc w:val="left"/>
              <w:rPr>
                <w:bCs/>
                <w:sz w:val="22"/>
                <w:szCs w:val="24"/>
              </w:rPr>
            </w:pPr>
            <w:r>
              <w:rPr>
                <w:rFonts w:hint="eastAsia"/>
                <w:b/>
                <w:sz w:val="24"/>
                <w:szCs w:val="28"/>
              </w:rPr>
              <w:t>报价要求：</w:t>
            </w:r>
            <w:r>
              <w:rPr>
                <w:rFonts w:hint="eastAsia"/>
                <w:bCs/>
                <w:sz w:val="22"/>
                <w:szCs w:val="24"/>
              </w:rPr>
              <w:t>报价单按采购清单表1~10项，逐项列明单价及分项金额。</w:t>
            </w:r>
          </w:p>
          <w:p w14:paraId="26D3C756">
            <w:pPr>
              <w:spacing w:line="240" w:lineRule="auto"/>
              <w:jc w:val="left"/>
              <w:rPr>
                <w:b/>
                <w:sz w:val="24"/>
                <w:szCs w:val="28"/>
              </w:rPr>
            </w:pPr>
            <w:r>
              <w:rPr>
                <w:rFonts w:hint="eastAsia"/>
                <w:b/>
                <w:sz w:val="24"/>
                <w:szCs w:val="28"/>
              </w:rPr>
              <w:t>验收要求：</w:t>
            </w:r>
          </w:p>
          <w:p w14:paraId="6BB9109E">
            <w:pPr>
              <w:pStyle w:val="11"/>
              <w:numPr>
                <w:ilvl w:val="0"/>
                <w:numId w:val="2"/>
              </w:numPr>
              <w:spacing w:line="240" w:lineRule="auto"/>
              <w:ind w:firstLineChars="0"/>
              <w:jc w:val="left"/>
              <w:rPr>
                <w:bCs/>
                <w:sz w:val="22"/>
                <w:szCs w:val="24"/>
              </w:rPr>
            </w:pPr>
            <w:r>
              <w:rPr>
                <w:rFonts w:hint="eastAsia"/>
                <w:bCs/>
                <w:sz w:val="22"/>
                <w:szCs w:val="24"/>
              </w:rPr>
              <w:t>外观检查：激光刻印清晰、无毛刺、型号拼写正确；</w:t>
            </w:r>
          </w:p>
          <w:p w14:paraId="5CD4D512">
            <w:pPr>
              <w:pStyle w:val="11"/>
              <w:numPr>
                <w:ilvl w:val="0"/>
                <w:numId w:val="2"/>
              </w:numPr>
              <w:spacing w:line="240" w:lineRule="auto"/>
              <w:ind w:firstLineChars="0"/>
              <w:jc w:val="left"/>
              <w:rPr>
                <w:bCs/>
                <w:sz w:val="22"/>
                <w:szCs w:val="24"/>
              </w:rPr>
            </w:pPr>
            <w:r>
              <w:rPr>
                <w:rFonts w:hint="eastAsia"/>
                <w:kern w:val="0"/>
                <w:sz w:val="22"/>
                <w:szCs w:val="21"/>
              </w:rPr>
              <w:t>互换性、啮合/分离力、接触电阻、绝缘电阻：</w:t>
            </w:r>
            <w:r>
              <w:rPr>
                <w:rFonts w:hint="eastAsia"/>
                <w:bCs/>
                <w:sz w:val="22"/>
                <w:szCs w:val="24"/>
              </w:rPr>
              <w:t>厂家出具相关测试报告</w:t>
            </w:r>
          </w:p>
          <w:p w14:paraId="35BF6181">
            <w:pPr>
              <w:pStyle w:val="11"/>
              <w:numPr>
                <w:ilvl w:val="0"/>
                <w:numId w:val="2"/>
              </w:numPr>
              <w:spacing w:line="240" w:lineRule="auto"/>
              <w:ind w:firstLineChars="0"/>
              <w:jc w:val="left"/>
              <w:rPr>
                <w:bCs/>
                <w:sz w:val="22"/>
                <w:szCs w:val="24"/>
              </w:rPr>
            </w:pPr>
            <w:r>
              <w:rPr>
                <w:rFonts w:hint="eastAsia"/>
                <w:bCs/>
                <w:sz w:val="22"/>
                <w:szCs w:val="24"/>
              </w:rPr>
              <w:t>尺寸复核：使用游标卡尺测量尾部长度、插针直径，对照规格书允许误差；</w:t>
            </w:r>
          </w:p>
          <w:p w14:paraId="0A0C5F1E">
            <w:pPr>
              <w:pStyle w:val="11"/>
              <w:numPr>
                <w:ilvl w:val="0"/>
                <w:numId w:val="2"/>
              </w:numPr>
              <w:spacing w:line="240" w:lineRule="auto"/>
              <w:ind w:firstLineChars="0"/>
              <w:jc w:val="left"/>
              <w:rPr>
                <w:bCs/>
                <w:sz w:val="22"/>
                <w:szCs w:val="24"/>
              </w:rPr>
            </w:pPr>
            <w:r>
              <w:rPr>
                <w:rFonts w:hint="eastAsia"/>
                <w:bCs/>
                <w:sz w:val="22"/>
                <w:szCs w:val="24"/>
              </w:rPr>
              <w:t>镀层检测：厂家出具原厂同批次</w:t>
            </w:r>
            <w:r>
              <w:rPr>
                <w:bCs/>
                <w:sz w:val="22"/>
                <w:szCs w:val="24"/>
              </w:rPr>
              <w:t>X</w:t>
            </w:r>
            <w:r>
              <w:rPr>
                <w:rFonts w:hint="eastAsia"/>
                <w:bCs/>
                <w:sz w:val="22"/>
                <w:szCs w:val="24"/>
              </w:rPr>
              <w:t>射线荧光镀层测厚仪检测接触区域镀金层厚度检测报告；</w:t>
            </w:r>
          </w:p>
          <w:p w14:paraId="17A9BFCB">
            <w:pPr>
              <w:pStyle w:val="11"/>
              <w:numPr>
                <w:ilvl w:val="0"/>
                <w:numId w:val="2"/>
              </w:numPr>
              <w:spacing w:line="240" w:lineRule="auto"/>
              <w:ind w:firstLineChars="0"/>
              <w:jc w:val="left"/>
              <w:rPr>
                <w:bCs/>
                <w:sz w:val="22"/>
                <w:szCs w:val="24"/>
              </w:rPr>
            </w:pPr>
            <w:r>
              <w:rPr>
                <w:rFonts w:hint="eastAsia"/>
                <w:bCs/>
                <w:sz w:val="22"/>
                <w:szCs w:val="24"/>
              </w:rPr>
              <w:t>耐压测试：厂家出具</w:t>
            </w:r>
            <w:r>
              <w:rPr>
                <w:bCs/>
                <w:sz w:val="22"/>
                <w:szCs w:val="24"/>
              </w:rPr>
              <w:t>1</w:t>
            </w:r>
            <w:r>
              <w:rPr>
                <w:rFonts w:hint="eastAsia"/>
                <w:bCs/>
                <w:sz w:val="22"/>
                <w:szCs w:val="24"/>
              </w:rPr>
              <w:t>5</w:t>
            </w:r>
            <w:r>
              <w:rPr>
                <w:bCs/>
                <w:sz w:val="22"/>
                <w:szCs w:val="24"/>
              </w:rPr>
              <w:t xml:space="preserve">00V AC </w:t>
            </w:r>
            <w:r>
              <w:rPr>
                <w:rFonts w:hint="eastAsia"/>
                <w:bCs/>
                <w:sz w:val="22"/>
                <w:szCs w:val="24"/>
              </w:rPr>
              <w:t>持续</w:t>
            </w:r>
            <w:r>
              <w:rPr>
                <w:bCs/>
                <w:sz w:val="22"/>
                <w:szCs w:val="24"/>
              </w:rPr>
              <w:t>1</w:t>
            </w:r>
            <w:r>
              <w:rPr>
                <w:rFonts w:hint="eastAsia"/>
                <w:bCs/>
                <w:sz w:val="22"/>
                <w:szCs w:val="24"/>
              </w:rPr>
              <w:t>分钟进行介电强度测试报告；</w:t>
            </w:r>
          </w:p>
          <w:p w14:paraId="662F8392">
            <w:pPr>
              <w:pStyle w:val="11"/>
              <w:numPr>
                <w:ilvl w:val="0"/>
                <w:numId w:val="2"/>
              </w:numPr>
              <w:spacing w:line="240" w:lineRule="auto"/>
              <w:ind w:firstLineChars="0"/>
              <w:jc w:val="left"/>
              <w:rPr>
                <w:bCs/>
                <w:sz w:val="22"/>
                <w:szCs w:val="24"/>
              </w:rPr>
            </w:pPr>
            <w:r>
              <w:rPr>
                <w:rFonts w:hint="eastAsia"/>
                <w:bCs/>
                <w:sz w:val="22"/>
                <w:szCs w:val="24"/>
              </w:rPr>
              <w:t>密封性抽检：厂家出具</w:t>
            </w:r>
            <w:r>
              <w:rPr>
                <w:bCs/>
                <w:sz w:val="22"/>
                <w:szCs w:val="24"/>
              </w:rPr>
              <w:t>IP65</w:t>
            </w:r>
            <w:r>
              <w:rPr>
                <w:rFonts w:hint="eastAsia"/>
                <w:bCs/>
                <w:sz w:val="22"/>
                <w:szCs w:val="24"/>
              </w:rPr>
              <w:t>浸水测试或气压测试报告；</w:t>
            </w:r>
          </w:p>
          <w:p w14:paraId="2AC052A9">
            <w:pPr>
              <w:pStyle w:val="11"/>
              <w:numPr>
                <w:ilvl w:val="0"/>
                <w:numId w:val="2"/>
              </w:numPr>
              <w:spacing w:line="240" w:lineRule="auto"/>
              <w:ind w:left="360" w:firstLine="0" w:firstLineChars="0"/>
              <w:jc w:val="left"/>
              <w:rPr>
                <w:bCs/>
                <w:sz w:val="22"/>
                <w:szCs w:val="24"/>
              </w:rPr>
            </w:pPr>
            <w:r>
              <w:rPr>
                <w:rFonts w:hint="eastAsia"/>
                <w:bCs/>
                <w:sz w:val="22"/>
                <w:szCs w:val="24"/>
              </w:rPr>
              <w:t>包装核对：核对原厂批次标签、批次号、产地标识是否完整规范。</w:t>
            </w:r>
          </w:p>
          <w:p w14:paraId="3DA18ED5">
            <w:pPr>
              <w:pStyle w:val="11"/>
              <w:spacing w:line="240" w:lineRule="auto"/>
              <w:ind w:left="360" w:firstLine="0" w:firstLineChars="0"/>
              <w:jc w:val="left"/>
              <w:rPr>
                <w:bCs/>
                <w:sz w:val="22"/>
                <w:szCs w:val="24"/>
              </w:rPr>
            </w:pPr>
            <w:r>
              <w:rPr>
                <w:rFonts w:hint="eastAsia"/>
                <w:kern w:val="0"/>
                <w:sz w:val="22"/>
                <w:szCs w:val="21"/>
              </w:rPr>
              <w:t>其中绝缘电阻与介质耐电压检测报告需有CNAS或CMA认证。</w:t>
            </w:r>
          </w:p>
          <w:p w14:paraId="143E1120">
            <w:pPr>
              <w:spacing w:line="240" w:lineRule="auto"/>
              <w:jc w:val="left"/>
              <w:rPr>
                <w:bCs/>
                <w:sz w:val="22"/>
                <w:szCs w:val="24"/>
              </w:rPr>
            </w:pPr>
            <w:r>
              <w:rPr>
                <w:b/>
                <w:sz w:val="24"/>
                <w:szCs w:val="28"/>
              </w:rPr>
              <w:t>交货期：</w:t>
            </w:r>
            <w:r>
              <w:rPr>
                <w:bCs/>
                <w:sz w:val="22"/>
                <w:szCs w:val="24"/>
              </w:rPr>
              <w:t>合同签订</w:t>
            </w:r>
            <w:r>
              <w:rPr>
                <w:rFonts w:hint="eastAsia"/>
                <w:bCs/>
                <w:sz w:val="22"/>
                <w:szCs w:val="24"/>
              </w:rPr>
              <w:t>之日起</w:t>
            </w:r>
            <w:r>
              <w:rPr>
                <w:bCs/>
                <w:sz w:val="22"/>
                <w:szCs w:val="24"/>
              </w:rPr>
              <w:t>5</w:t>
            </w:r>
            <w:r>
              <w:rPr>
                <w:rFonts w:hint="eastAsia"/>
                <w:bCs/>
                <w:sz w:val="22"/>
                <w:szCs w:val="24"/>
              </w:rPr>
              <w:t>周内完成全部交货</w:t>
            </w:r>
            <w:r>
              <w:rPr>
                <w:bCs/>
                <w:sz w:val="22"/>
                <w:szCs w:val="24"/>
              </w:rPr>
              <w:t>。</w:t>
            </w:r>
          </w:p>
          <w:p w14:paraId="5886F5FD">
            <w:pPr>
              <w:spacing w:line="240" w:lineRule="auto"/>
              <w:jc w:val="left"/>
              <w:rPr>
                <w:bCs/>
                <w:sz w:val="22"/>
                <w:szCs w:val="24"/>
              </w:rPr>
            </w:pPr>
            <w:r>
              <w:rPr>
                <w:rFonts w:hint="eastAsia"/>
                <w:b/>
                <w:sz w:val="24"/>
                <w:szCs w:val="28"/>
              </w:rPr>
              <w:t>付款方式：</w:t>
            </w:r>
            <w:r>
              <w:rPr>
                <w:rFonts w:hint="eastAsia"/>
                <w:bCs/>
                <w:sz w:val="22"/>
                <w:szCs w:val="24"/>
              </w:rPr>
              <w:t>合同签订后支付40%预付款；全部货物到货验收合格，且乙方开具全额增值税发票后30个工作日内支付剩余60%尾款。</w:t>
            </w:r>
          </w:p>
          <w:p w14:paraId="277C9895">
            <w:pPr>
              <w:tabs>
                <w:tab w:val="left" w:pos="6915"/>
              </w:tabs>
              <w:jc w:val="left"/>
              <w:rPr>
                <w:rFonts w:ascii="Arial" w:hAnsi="Arial" w:eastAsia="宋体" w:cs="Arial"/>
                <w:szCs w:val="21"/>
                <w:shd w:val="clear" w:color="auto" w:fill="FFFFFF"/>
              </w:rPr>
            </w:pPr>
            <w:r>
              <w:rPr>
                <w:b/>
                <w:sz w:val="24"/>
                <w:szCs w:val="28"/>
              </w:rPr>
              <w:t>保修及售后服务</w:t>
            </w:r>
            <w:r>
              <w:rPr>
                <w:b/>
                <w:sz w:val="22"/>
                <w:szCs w:val="24"/>
              </w:rPr>
              <w:t>：</w:t>
            </w:r>
            <w:r>
              <w:rPr>
                <w:rFonts w:hint="eastAsia"/>
                <w:bCs/>
                <w:sz w:val="22"/>
                <w:szCs w:val="24"/>
              </w:rPr>
              <w:t>提供1年质保。</w:t>
            </w:r>
            <w:bookmarkStart w:id="2" w:name="_GoBack"/>
            <w:bookmarkEnd w:id="2"/>
          </w:p>
        </w:tc>
        <w:tc>
          <w:tcPr>
            <w:tcW w:w="1418" w:type="dxa"/>
            <w:vAlign w:val="center"/>
          </w:tcPr>
          <w:p w14:paraId="324B1D27">
            <w:pPr>
              <w:spacing w:line="240" w:lineRule="atLeast"/>
              <w:jc w:val="center"/>
            </w:pPr>
          </w:p>
        </w:tc>
        <w:tc>
          <w:tcPr>
            <w:tcW w:w="992" w:type="dxa"/>
            <w:vAlign w:val="center"/>
          </w:tcPr>
          <w:p w14:paraId="06AA2CA0">
            <w:pPr>
              <w:spacing w:line="240" w:lineRule="atLeast"/>
              <w:jc w:val="center"/>
            </w:pPr>
          </w:p>
        </w:tc>
      </w:tr>
    </w:tbl>
    <w:p w14:paraId="6DFFEB29">
      <w:pPr>
        <w:ind w:right="840"/>
        <w:rPr>
          <w:sz w:val="24"/>
        </w:rPr>
      </w:pPr>
    </w:p>
    <w:p w14:paraId="0DED7F3B">
      <w:pPr>
        <w:ind w:right="840" w:firstLine="5040" w:firstLineChars="2100"/>
        <w:rPr>
          <w:sz w:val="24"/>
        </w:rPr>
      </w:pPr>
    </w:p>
    <w:p w14:paraId="6B36AD4F">
      <w:pPr>
        <w:ind w:right="840" w:firstLine="5040" w:firstLineChars="2100"/>
        <w:rPr>
          <w:sz w:val="24"/>
        </w:rPr>
      </w:pPr>
      <w:r>
        <w:rPr>
          <w:sz w:val="24"/>
        </w:rPr>
        <w:t>公司名称</w:t>
      </w:r>
      <w:r>
        <w:rPr>
          <w:rFonts w:hint="eastAsia"/>
          <w:sz w:val="24"/>
        </w:rPr>
        <w:t>（盖章）：</w:t>
      </w:r>
    </w:p>
    <w:p w14:paraId="2BA3965A">
      <w:pPr>
        <w:ind w:right="840"/>
        <w:jc w:val="center"/>
        <w:rPr>
          <w:sz w:val="24"/>
        </w:rPr>
      </w:pPr>
      <w:r>
        <w:rPr>
          <w:rFonts w:hint="eastAsia"/>
          <w:sz w:val="24"/>
        </w:rPr>
        <w:t xml:space="preserve"> </w:t>
      </w:r>
      <w:r>
        <w:rPr>
          <w:sz w:val="24"/>
        </w:rPr>
        <w:t xml:space="preserve">                            日期</w:t>
      </w:r>
      <w:r>
        <w:rPr>
          <w:rFonts w:hint="eastAsia"/>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YaHei">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1654B"/>
    <w:multiLevelType w:val="multilevel"/>
    <w:tmpl w:val="0E11654B"/>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CC6DC6"/>
    <w:multiLevelType w:val="multilevel"/>
    <w:tmpl w:val="11CC6DC6"/>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437"/>
    <w:rsid w:val="000110C4"/>
    <w:rsid w:val="00015CB8"/>
    <w:rsid w:val="00020783"/>
    <w:rsid w:val="00025804"/>
    <w:rsid w:val="00050922"/>
    <w:rsid w:val="00086882"/>
    <w:rsid w:val="00090223"/>
    <w:rsid w:val="00091C8D"/>
    <w:rsid w:val="000E54CE"/>
    <w:rsid w:val="00102C13"/>
    <w:rsid w:val="00123779"/>
    <w:rsid w:val="001501D1"/>
    <w:rsid w:val="001548E0"/>
    <w:rsid w:val="001B219D"/>
    <w:rsid w:val="001D3367"/>
    <w:rsid w:val="002026B2"/>
    <w:rsid w:val="002212AC"/>
    <w:rsid w:val="00261EE1"/>
    <w:rsid w:val="00267E42"/>
    <w:rsid w:val="002D1729"/>
    <w:rsid w:val="002E518A"/>
    <w:rsid w:val="003009AA"/>
    <w:rsid w:val="003438B5"/>
    <w:rsid w:val="00363C73"/>
    <w:rsid w:val="003923FC"/>
    <w:rsid w:val="003C2330"/>
    <w:rsid w:val="003C7C5A"/>
    <w:rsid w:val="004626C3"/>
    <w:rsid w:val="00474B94"/>
    <w:rsid w:val="004973C3"/>
    <w:rsid w:val="004B0D2F"/>
    <w:rsid w:val="00516FB3"/>
    <w:rsid w:val="00547A75"/>
    <w:rsid w:val="00584F75"/>
    <w:rsid w:val="005C4758"/>
    <w:rsid w:val="005C4AA6"/>
    <w:rsid w:val="005E2C0C"/>
    <w:rsid w:val="005F14E0"/>
    <w:rsid w:val="005F7E7B"/>
    <w:rsid w:val="006074C0"/>
    <w:rsid w:val="00630F8F"/>
    <w:rsid w:val="00642CDA"/>
    <w:rsid w:val="00670B3D"/>
    <w:rsid w:val="006C07B4"/>
    <w:rsid w:val="006D67E0"/>
    <w:rsid w:val="00705387"/>
    <w:rsid w:val="00720BC4"/>
    <w:rsid w:val="007230C5"/>
    <w:rsid w:val="00731AE1"/>
    <w:rsid w:val="00744E8E"/>
    <w:rsid w:val="00750961"/>
    <w:rsid w:val="00757D88"/>
    <w:rsid w:val="007A4C29"/>
    <w:rsid w:val="007B2AE3"/>
    <w:rsid w:val="00811B08"/>
    <w:rsid w:val="00825420"/>
    <w:rsid w:val="00832C3E"/>
    <w:rsid w:val="00872767"/>
    <w:rsid w:val="00877DA3"/>
    <w:rsid w:val="00886A2E"/>
    <w:rsid w:val="008A717C"/>
    <w:rsid w:val="008D62B6"/>
    <w:rsid w:val="008E3DB8"/>
    <w:rsid w:val="008F0FFC"/>
    <w:rsid w:val="008F5C2B"/>
    <w:rsid w:val="009149BA"/>
    <w:rsid w:val="00961437"/>
    <w:rsid w:val="00965011"/>
    <w:rsid w:val="00995429"/>
    <w:rsid w:val="00996AC3"/>
    <w:rsid w:val="009B6E26"/>
    <w:rsid w:val="009C3224"/>
    <w:rsid w:val="009C4C31"/>
    <w:rsid w:val="009F0C82"/>
    <w:rsid w:val="009F5C3A"/>
    <w:rsid w:val="00A01094"/>
    <w:rsid w:val="00A11447"/>
    <w:rsid w:val="00A20D98"/>
    <w:rsid w:val="00A27625"/>
    <w:rsid w:val="00A44E8A"/>
    <w:rsid w:val="00A533CA"/>
    <w:rsid w:val="00A8112C"/>
    <w:rsid w:val="00AC1D37"/>
    <w:rsid w:val="00AC67EF"/>
    <w:rsid w:val="00AF7A8B"/>
    <w:rsid w:val="00B04741"/>
    <w:rsid w:val="00B311D0"/>
    <w:rsid w:val="00B64004"/>
    <w:rsid w:val="00B7785A"/>
    <w:rsid w:val="00B90DC2"/>
    <w:rsid w:val="00B971DE"/>
    <w:rsid w:val="00BA1B3F"/>
    <w:rsid w:val="00BC2767"/>
    <w:rsid w:val="00C102A3"/>
    <w:rsid w:val="00C1298E"/>
    <w:rsid w:val="00C26D9F"/>
    <w:rsid w:val="00C442AD"/>
    <w:rsid w:val="00CA3288"/>
    <w:rsid w:val="00CA3E3B"/>
    <w:rsid w:val="00D011DC"/>
    <w:rsid w:val="00D04097"/>
    <w:rsid w:val="00D24D09"/>
    <w:rsid w:val="00D72E1E"/>
    <w:rsid w:val="00D81354"/>
    <w:rsid w:val="00E00131"/>
    <w:rsid w:val="00E147A9"/>
    <w:rsid w:val="00E5012E"/>
    <w:rsid w:val="00E762FD"/>
    <w:rsid w:val="00E930C8"/>
    <w:rsid w:val="00EA412A"/>
    <w:rsid w:val="00EA6BA9"/>
    <w:rsid w:val="00F347F0"/>
    <w:rsid w:val="00F34AE9"/>
    <w:rsid w:val="00F357B0"/>
    <w:rsid w:val="00F43549"/>
    <w:rsid w:val="00F50B62"/>
    <w:rsid w:val="00F70F95"/>
    <w:rsid w:val="00F829DE"/>
    <w:rsid w:val="00F82AA6"/>
    <w:rsid w:val="00F855E3"/>
    <w:rsid w:val="00FC7C08"/>
    <w:rsid w:val="00FE15FA"/>
    <w:rsid w:val="0C7718F8"/>
    <w:rsid w:val="2D070EC5"/>
    <w:rsid w:val="300644B3"/>
    <w:rsid w:val="46BB5348"/>
    <w:rsid w:val="51936088"/>
    <w:rsid w:val="668D6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line="278" w:lineRule="auto"/>
      <w:jc w:val="left"/>
    </w:pPr>
    <w:rPr>
      <w:rFonts w:ascii="Times New Roman" w:hAnsi="Times New Roman" w:eastAsia="宋体" w:cs="Times New Roman"/>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style01"/>
    <w:basedOn w:val="7"/>
    <w:qFormat/>
    <w:uiPriority w:val="0"/>
    <w:rPr>
      <w:rFonts w:hint="default" w:ascii="MicrosoftYaHei" w:hAnsi="MicrosoftYaHei"/>
      <w:color w:val="000000"/>
      <w:sz w:val="22"/>
      <w:szCs w:val="22"/>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 w:type="paragraph" w:styleId="11">
    <w:name w:val="List Paragraph"/>
    <w:basedOn w:val="1"/>
    <w:autoRedefine/>
    <w:qFormat/>
    <w:uiPriority w:val="34"/>
    <w:pPr>
      <w:tabs>
        <w:tab w:val="left" w:pos="1428"/>
      </w:tabs>
      <w:ind w:firstLine="420" w:firstLineChars="200"/>
      <w:jc w:val="left"/>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434</Words>
  <Characters>486</Characters>
  <Lines>4</Lines>
  <Paragraphs>1</Paragraphs>
  <TotalTime>0</TotalTime>
  <ScaleCrop>false</ScaleCrop>
  <LinksUpToDate>false</LinksUpToDate>
  <CharactersWithSpaces>515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2024-07-15T01:36:00Z</dcterms:created>
  <dc:creator>China</dc:creator>
  <cp:lastModifiedBy>陈文佳</cp:lastModifiedBy>
  <dcterms:modified xsi:type="dcterms:W3CDTF">2026-07-31T08:50:42Z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eyJoZGlkIjoiMzc0OTQ1OWZiNDc3Y2MyZmZmZWIzYzRlODQ4NDE3OTYiLCJ1c2VySWQiOiIxNzc0OTA2Mjk1In0=</vt:lpwstr>
  </property>
  <property fmtid="{D5CDD505-2E9C-101B-9397-08002B2CF9AE}" pid="3" name="KSOProductBuildVer">
    <vt:lpwstr>2052-12.1.0.23542</vt:lpwstr>
  </property>
  <property fmtid="{D5CDD505-2E9C-101B-9397-08002B2CF9AE}" pid="4" name="ICV">
    <vt:lpwstr>20B1B4D6E71F47CB8E65CCEFBC87FC75_12</vt:lpwstr>
  </property>
</Properties>
</file>