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标准样品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6B096F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采购标准样品一套，用于线站验收指标测试和标定，包括2套高能X射线标准样品和1套中能X射线标准样品，具体技术参数要求如下：</w:t>
            </w:r>
          </w:p>
          <w:tbl>
            <w:tblPr>
              <w:tblStyle w:val="6"/>
              <w:tblW w:w="4804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32"/>
              <w:gridCol w:w="409"/>
              <w:gridCol w:w="1473"/>
              <w:gridCol w:w="2090"/>
            </w:tblGrid>
            <w:tr w14:paraId="6030C3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6" w:hRule="atLeast"/>
                <w:jc w:val="center"/>
              </w:trPr>
              <w:tc>
                <w:tcPr>
                  <w:tcW w:w="832" w:type="dxa"/>
                  <w:vAlign w:val="center"/>
                </w:tcPr>
                <w:p w14:paraId="4768CC8A">
                  <w:pPr>
                    <w:pStyle w:val="4"/>
                    <w:widowControl/>
                    <w:spacing w:beforeAutospacing="0" w:afterAutospacing="0"/>
                    <w:jc w:val="center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产品名称</w:t>
                  </w:r>
                </w:p>
              </w:tc>
              <w:tc>
                <w:tcPr>
                  <w:tcW w:w="409" w:type="dxa"/>
                  <w:vAlign w:val="center"/>
                </w:tcPr>
                <w:p w14:paraId="3135CE88">
                  <w:pPr>
                    <w:pStyle w:val="4"/>
                    <w:widowControl/>
                    <w:spacing w:beforeAutospacing="0" w:afterAutospacing="0"/>
                    <w:jc w:val="center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数量</w:t>
                  </w:r>
                </w:p>
              </w:tc>
              <w:tc>
                <w:tcPr>
                  <w:tcW w:w="1473" w:type="dxa"/>
                  <w:vAlign w:val="center"/>
                </w:tcPr>
                <w:p w14:paraId="3F1F5386">
                  <w:pPr>
                    <w:pStyle w:val="4"/>
                    <w:widowControl/>
                    <w:spacing w:beforeAutospacing="0" w:afterAutospacing="0"/>
                    <w:jc w:val="center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元素种类</w:t>
                  </w:r>
                </w:p>
              </w:tc>
              <w:tc>
                <w:tcPr>
                  <w:tcW w:w="2090" w:type="dxa"/>
                  <w:vAlign w:val="center"/>
                </w:tcPr>
                <w:p w14:paraId="220DBA60">
                  <w:pPr>
                    <w:pStyle w:val="4"/>
                    <w:widowControl/>
                    <w:spacing w:beforeAutospacing="0" w:afterAutospacing="0"/>
                    <w:jc w:val="center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规格型号</w:t>
                  </w:r>
                </w:p>
              </w:tc>
            </w:tr>
            <w:tr w14:paraId="134F22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47" w:hRule="atLeast"/>
                <w:jc w:val="center"/>
              </w:trPr>
              <w:tc>
                <w:tcPr>
                  <w:tcW w:w="832" w:type="dxa"/>
                  <w:vAlign w:val="center"/>
                </w:tcPr>
                <w:p w14:paraId="5E2F50BB">
                  <w:pPr>
                    <w:pStyle w:val="4"/>
                    <w:widowControl/>
                    <w:spacing w:beforeAutospacing="0" w:afterAutospacing="0"/>
                    <w:jc w:val="center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高能X射线标准样品</w:t>
                  </w:r>
                </w:p>
              </w:tc>
              <w:tc>
                <w:tcPr>
                  <w:tcW w:w="409" w:type="dxa"/>
                  <w:vAlign w:val="center"/>
                </w:tcPr>
                <w:p w14:paraId="3DEBCF7E">
                  <w:pPr>
                    <w:pStyle w:val="4"/>
                    <w:widowControl/>
                    <w:spacing w:beforeAutospacing="0" w:afterAutospacing="0"/>
                    <w:jc w:val="center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cstheme="minorBidi"/>
                      <w:kern w:val="2"/>
                      <w:sz w:val="20"/>
                      <w:szCs w:val="20"/>
                    </w:rPr>
                    <w:t>2</w:t>
                  </w: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套</w:t>
                  </w:r>
                </w:p>
              </w:tc>
              <w:tc>
                <w:tcPr>
                  <w:tcW w:w="1473" w:type="dxa"/>
                  <w:vAlign w:val="center"/>
                </w:tcPr>
                <w:p w14:paraId="336D7F75">
                  <w:pPr>
                    <w:pStyle w:val="4"/>
                    <w:widowControl/>
                    <w:jc w:val="both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Ti、V、Cr、Mn、Fe、Co、Ni、Cu、Zn、Se、Zr、Nb、Mo、W、Sn、Y、Au、Ag、Pt、Pb、In、Pd共22种金属元素;</w:t>
                  </w:r>
                </w:p>
              </w:tc>
              <w:tc>
                <w:tcPr>
                  <w:tcW w:w="2090" w:type="dxa"/>
                  <w:vAlign w:val="center"/>
                </w:tcPr>
                <w:p w14:paraId="64AE3FC7">
                  <w:pPr>
                    <w:pStyle w:val="4"/>
                    <w:widowControl/>
                    <w:spacing w:beforeAutospacing="0" w:afterAutospacing="0"/>
                    <w:jc w:val="both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X射线吸收跳高范围：0.5-1.5±10%；有效面积≥10*10mm</w:t>
                  </w:r>
                  <w:r>
                    <w:rPr>
                      <w:rFonts w:cstheme="minorBidi"/>
                      <w:kern w:val="2"/>
                      <w:sz w:val="20"/>
                      <w:szCs w:val="20"/>
                      <w:vertAlign w:val="superscript"/>
                    </w:rPr>
                    <w:t>2</w:t>
                  </w: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；尺寸误差：≤±0.2mm；</w:t>
                  </w:r>
                </w:p>
              </w:tc>
            </w:tr>
            <w:tr w14:paraId="25B88EC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2" w:hRule="atLeast"/>
                <w:jc w:val="center"/>
              </w:trPr>
              <w:tc>
                <w:tcPr>
                  <w:tcW w:w="832" w:type="dxa"/>
                  <w:vAlign w:val="center"/>
                </w:tcPr>
                <w:p w14:paraId="519AD02D">
                  <w:pPr>
                    <w:pStyle w:val="4"/>
                    <w:widowControl/>
                    <w:spacing w:beforeAutospacing="0" w:afterAutospacing="0"/>
                    <w:jc w:val="center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中能X射线标准样品</w:t>
                  </w:r>
                </w:p>
              </w:tc>
              <w:tc>
                <w:tcPr>
                  <w:tcW w:w="409" w:type="dxa"/>
                  <w:vAlign w:val="center"/>
                </w:tcPr>
                <w:p w14:paraId="56EE489F">
                  <w:pPr>
                    <w:pStyle w:val="4"/>
                    <w:widowControl/>
                    <w:spacing w:beforeAutospacing="0" w:afterAutospacing="0"/>
                    <w:jc w:val="center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cstheme="minorBidi"/>
                      <w:kern w:val="2"/>
                      <w:sz w:val="20"/>
                      <w:szCs w:val="20"/>
                    </w:rPr>
                    <w:t>1</w:t>
                  </w: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套</w:t>
                  </w:r>
                </w:p>
              </w:tc>
              <w:tc>
                <w:tcPr>
                  <w:tcW w:w="1473" w:type="dxa"/>
                  <w:vAlign w:val="center"/>
                </w:tcPr>
                <w:p w14:paraId="6E4D8E2E">
                  <w:pPr>
                    <w:pStyle w:val="4"/>
                    <w:widowControl/>
                    <w:spacing w:beforeAutospacing="0" w:afterAutospacing="0"/>
                    <w:jc w:val="both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Ti、V、Cr、Mn、Fe、Co、Ni、Cu、Zn共9种金属元素</w:t>
                  </w:r>
                </w:p>
              </w:tc>
              <w:tc>
                <w:tcPr>
                  <w:tcW w:w="2090" w:type="dxa"/>
                  <w:vAlign w:val="center"/>
                </w:tcPr>
                <w:p w14:paraId="430B6E26">
                  <w:pPr>
                    <w:pStyle w:val="4"/>
                    <w:widowControl/>
                    <w:spacing w:beforeAutospacing="0" w:afterAutospacing="0"/>
                    <w:jc w:val="both"/>
                    <w:rPr>
                      <w:rFonts w:cstheme="minorBidi"/>
                      <w:kern w:val="2"/>
                      <w:sz w:val="20"/>
                      <w:szCs w:val="20"/>
                    </w:rPr>
                  </w:pP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X射线吸收跳高范围：0.5-1.5±10%；有效面积≥10*10mm</w:t>
                  </w:r>
                  <w:r>
                    <w:rPr>
                      <w:rFonts w:hint="eastAsia" w:cstheme="minorBidi"/>
                      <w:kern w:val="2"/>
                      <w:sz w:val="20"/>
                      <w:szCs w:val="20"/>
                      <w:vertAlign w:val="superscript"/>
                    </w:rPr>
                    <w:t>2</w:t>
                  </w:r>
                  <w:r>
                    <w:rPr>
                      <w:rFonts w:hint="eastAsia" w:cstheme="minorBidi"/>
                      <w:kern w:val="2"/>
                      <w:sz w:val="20"/>
                      <w:szCs w:val="20"/>
                    </w:rPr>
                    <w:t>；尺寸误差：≤±0.2mm；</w:t>
                  </w:r>
                </w:p>
              </w:tc>
            </w:tr>
          </w:tbl>
          <w:p w14:paraId="64416EC5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679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签订合同后6个月内。</w:t>
            </w:r>
          </w:p>
          <w:p w14:paraId="1263B4E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（1）合同签订后，支付合同总价的30%；（2）货到买方指定地点并且经买方验收合格后，支付合同总价的70%。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提供出厂报告。到货后验收：元素种类是否满足需求、有效面积≥10*10mm</w:t>
            </w:r>
            <w:r>
              <w:rPr>
                <w:rFonts w:hint="eastAsia" w:ascii="宋体" w:hAnsi="宋体"/>
                <w:bCs/>
                <w:szCs w:val="21"/>
                <w:vertAlign w:val="superscript"/>
              </w:rPr>
              <w:t>2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</w:p>
          <w:p w14:paraId="479E70C6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提供至少1年的免费保修，包含人工、维修及零件等费用。在保修期内，供货商需要及时提供维修服务，包括产品的正常检修、维护等。保修期自验收签字之日算起，保修期内因质量问题而导致设备停用的时间从保修期中扣除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68D654E"/>
    <w:rsid w:val="6A8C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2026-05-12T07:17:23Z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