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422"/>
        <w:gridCol w:w="5244"/>
        <w:gridCol w:w="1418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3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10FD52C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Arial" w:hAnsi="Arial" w:eastAsia="宋体" w:cs="Arial"/>
                <w:b/>
                <w:bCs/>
                <w:szCs w:val="21"/>
                <w:shd w:val="clear" w:color="auto" w:fill="FFFFFF"/>
              </w:rPr>
              <w:t>WR定时系统</w:t>
            </w:r>
          </w:p>
        </w:tc>
        <w:tc>
          <w:tcPr>
            <w:tcW w:w="524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D0B8D64">
            <w:pPr>
              <w:tabs>
                <w:tab w:val="left" w:pos="6915"/>
              </w:tabs>
              <w:jc w:val="left"/>
              <w:rPr>
                <w:rFonts w:hint="eastAsia" w:ascii="Arial" w:hAnsi="Arial" w:cs="Arial"/>
                <w:b/>
                <w:bCs/>
                <w:szCs w:val="21"/>
                <w:shd w:val="clear" w:color="auto" w:fill="FFFFFF"/>
              </w:rPr>
            </w:pPr>
            <w:r>
              <w:rPr>
                <w:rFonts w:hint="eastAsia" w:ascii="Arial" w:hAnsi="Arial" w:cs="Arial"/>
                <w:b/>
                <w:bCs/>
                <w:szCs w:val="21"/>
                <w:shd w:val="clear" w:color="auto" w:fill="FFFFFF"/>
              </w:rPr>
              <w:t>（1）1台时钟主节点</w:t>
            </w:r>
          </w:p>
          <w:p w14:paraId="1F3C16E3">
            <w:pPr>
              <w:tabs>
                <w:tab w:val="left" w:pos="6915"/>
              </w:tabs>
              <w:jc w:val="left"/>
              <w:rPr>
                <w:rFonts w:hint="eastAsia" w:ascii="Arial" w:hAnsi="Arial" w:cs="Arial"/>
                <w:szCs w:val="21"/>
                <w:shd w:val="clear" w:color="auto" w:fill="FFFFFF"/>
              </w:rPr>
            </w:pPr>
            <w:r>
              <w:rPr>
                <w:rFonts w:hint="eastAsia" w:ascii="Arial" w:hAnsi="Arial" w:cs="Arial"/>
                <w:szCs w:val="21"/>
                <w:shd w:val="clear" w:color="auto" w:fill="FFFFFF"/>
              </w:rPr>
              <w:t>接收定时触发信号，将接收到的触发信号转换为相应的时钟信息，再通过接入定时网络分发该时钟信息。</w:t>
            </w:r>
          </w:p>
          <w:p w14:paraId="5F46C8F9">
            <w:pPr>
              <w:tabs>
                <w:tab w:val="left" w:pos="6915"/>
              </w:tabs>
              <w:jc w:val="left"/>
              <w:rPr>
                <w:rFonts w:hint="eastAsia" w:ascii="Arial" w:hAnsi="Arial" w:cs="Arial"/>
                <w:szCs w:val="21"/>
                <w:shd w:val="clear" w:color="auto" w:fill="FFFFFF"/>
              </w:rPr>
            </w:pPr>
            <w:r>
              <w:rPr>
                <w:rFonts w:hint="eastAsia" w:ascii="Arial" w:hAnsi="Arial" w:cs="Arial"/>
                <w:szCs w:val="21"/>
                <w:shd w:val="clear" w:color="auto" w:fill="FFFFFF"/>
              </w:rPr>
              <w:t>1</w:t>
            </w:r>
            <w:r>
              <w:rPr>
                <w:rFonts w:ascii="Arial" w:hAnsi="Arial" w:cs="Arial"/>
                <w:szCs w:val="21"/>
                <w:shd w:val="clear" w:color="auto" w:fill="FFFFFF"/>
              </w:rPr>
              <w:t xml:space="preserve">. </w:t>
            </w:r>
            <w:r>
              <w:rPr>
                <w:rFonts w:hint="eastAsia" w:ascii="Arial" w:hAnsi="Arial" w:cs="Arial"/>
                <w:szCs w:val="21"/>
                <w:shd w:val="clear" w:color="auto" w:fill="FFFFFF"/>
              </w:rPr>
              <w:t>机箱高度为1U，宽度为19英寸，深度≤50cm；</w:t>
            </w:r>
          </w:p>
          <w:p w14:paraId="3998CF60">
            <w:pPr>
              <w:tabs>
                <w:tab w:val="left" w:pos="6915"/>
              </w:tabs>
              <w:jc w:val="left"/>
              <w:rPr>
                <w:rFonts w:hint="eastAsia" w:ascii="Arial" w:hAnsi="Arial" w:cs="Arial"/>
                <w:szCs w:val="21"/>
                <w:shd w:val="clear" w:color="auto" w:fill="FFFFFF"/>
              </w:rPr>
            </w:pPr>
            <w:r>
              <w:rPr>
                <w:rFonts w:hint="eastAsia" w:ascii="Arial" w:hAnsi="Arial" w:cs="Arial"/>
                <w:szCs w:val="21"/>
                <w:shd w:val="clear" w:color="auto" w:fill="FFFFFF"/>
              </w:rPr>
              <w:t>2</w:t>
            </w:r>
            <w:r>
              <w:rPr>
                <w:rFonts w:ascii="Arial" w:hAnsi="Arial" w:cs="Arial"/>
                <w:szCs w:val="21"/>
                <w:shd w:val="clear" w:color="auto" w:fill="FFFFFF"/>
              </w:rPr>
              <w:t xml:space="preserve">. </w:t>
            </w:r>
            <w:r>
              <w:rPr>
                <w:rFonts w:hint="eastAsia" w:ascii="Arial" w:hAnsi="Arial" w:cs="Arial"/>
                <w:szCs w:val="21"/>
                <w:shd w:val="clear" w:color="auto" w:fill="FFFFFF"/>
              </w:rPr>
              <w:t>≥4路触发输入通道（10kHz以内的周期信号或单次脉冲信号）；</w:t>
            </w:r>
          </w:p>
          <w:p w14:paraId="36586453">
            <w:pPr>
              <w:tabs>
                <w:tab w:val="left" w:pos="6915"/>
              </w:tabs>
              <w:jc w:val="left"/>
              <w:rPr>
                <w:rFonts w:hint="eastAsia" w:ascii="Arial" w:hAnsi="Arial" w:cs="Arial"/>
                <w:szCs w:val="21"/>
                <w:shd w:val="clear" w:color="auto" w:fill="FFFFFF"/>
              </w:rPr>
            </w:pPr>
            <w:r>
              <w:rPr>
                <w:rFonts w:hint="eastAsia" w:ascii="Arial" w:hAnsi="Arial" w:cs="Arial"/>
                <w:szCs w:val="21"/>
                <w:shd w:val="clear" w:color="auto" w:fill="FFFFFF"/>
              </w:rPr>
              <w:t>3</w:t>
            </w:r>
            <w:r>
              <w:rPr>
                <w:rFonts w:ascii="Arial" w:hAnsi="Arial" w:cs="Arial"/>
                <w:szCs w:val="21"/>
                <w:shd w:val="clear" w:color="auto" w:fill="FFFFFF"/>
              </w:rPr>
              <w:t xml:space="preserve">. </w:t>
            </w:r>
            <w:r>
              <w:rPr>
                <w:rFonts w:hint="eastAsia" w:ascii="Arial" w:hAnsi="Arial" w:cs="Arial"/>
                <w:szCs w:val="21"/>
                <w:shd w:val="clear" w:color="auto" w:fill="FFFFFF"/>
              </w:rPr>
              <w:t>供电一路，220V电压；</w:t>
            </w:r>
          </w:p>
          <w:p w14:paraId="780DA4CF">
            <w:pPr>
              <w:tabs>
                <w:tab w:val="left" w:pos="6915"/>
              </w:tabs>
              <w:jc w:val="left"/>
              <w:rPr>
                <w:rFonts w:hint="eastAsia" w:ascii="Arial" w:hAnsi="Arial" w:cs="Arial"/>
                <w:szCs w:val="21"/>
                <w:shd w:val="clear" w:color="auto" w:fill="FFFFFF"/>
              </w:rPr>
            </w:pPr>
            <w:r>
              <w:rPr>
                <w:rFonts w:hint="eastAsia" w:ascii="Arial" w:hAnsi="Arial" w:cs="Arial"/>
                <w:szCs w:val="21"/>
                <w:shd w:val="clear" w:color="auto" w:fill="FFFFFF"/>
              </w:rPr>
              <w:t>4</w:t>
            </w:r>
            <w:r>
              <w:rPr>
                <w:rFonts w:ascii="Arial" w:hAnsi="Arial" w:cs="Arial"/>
                <w:szCs w:val="21"/>
                <w:shd w:val="clear" w:color="auto" w:fill="FFFFFF"/>
              </w:rPr>
              <w:t xml:space="preserve">. </w:t>
            </w:r>
            <w:r>
              <w:rPr>
                <w:rFonts w:hint="eastAsia" w:ascii="Arial" w:hAnsi="Arial" w:cs="Arial"/>
                <w:szCs w:val="21"/>
                <w:shd w:val="clear" w:color="auto" w:fill="FFFFFF"/>
              </w:rPr>
              <w:t>支持SNMP远程管理协议。</w:t>
            </w:r>
          </w:p>
          <w:p w14:paraId="3E787F2D">
            <w:pPr>
              <w:tabs>
                <w:tab w:val="left" w:pos="6915"/>
              </w:tabs>
              <w:jc w:val="left"/>
              <w:rPr>
                <w:rFonts w:hint="eastAsia" w:ascii="Arial" w:hAnsi="Arial" w:cs="Arial"/>
                <w:b/>
                <w:bCs/>
                <w:szCs w:val="21"/>
                <w:shd w:val="clear" w:color="auto" w:fill="FFFFFF"/>
              </w:rPr>
            </w:pPr>
            <w:r>
              <w:rPr>
                <w:rFonts w:hint="eastAsia" w:ascii="Arial" w:hAnsi="Arial" w:cs="Arial"/>
                <w:b/>
                <w:bCs/>
                <w:szCs w:val="21"/>
                <w:shd w:val="clear" w:color="auto" w:fill="FFFFFF"/>
              </w:rPr>
              <w:t>（2）1台时钟扇出模块</w:t>
            </w:r>
          </w:p>
          <w:p w14:paraId="2FB3C36E">
            <w:pPr>
              <w:tabs>
                <w:tab w:val="left" w:pos="6915"/>
              </w:tabs>
              <w:jc w:val="left"/>
              <w:rPr>
                <w:rFonts w:hint="eastAsia" w:ascii="Arial" w:hAnsi="Arial" w:cs="Arial"/>
                <w:szCs w:val="21"/>
                <w:shd w:val="clear" w:color="auto" w:fill="FFFFFF"/>
              </w:rPr>
            </w:pPr>
            <w:r>
              <w:rPr>
                <w:rFonts w:hint="eastAsia" w:ascii="Arial" w:hAnsi="Arial" w:cs="Arial"/>
                <w:szCs w:val="21"/>
                <w:shd w:val="clear" w:color="auto" w:fill="FFFFFF"/>
              </w:rPr>
              <w:t>通过定时网络接收来自主节点的时钟信息，解码并恢复出相应的脉冲信号。</w:t>
            </w:r>
          </w:p>
          <w:p w14:paraId="1E5D23E3">
            <w:pPr>
              <w:tabs>
                <w:tab w:val="left" w:pos="6915"/>
              </w:tabs>
              <w:jc w:val="left"/>
              <w:rPr>
                <w:rFonts w:hint="eastAsia" w:ascii="Arial" w:hAnsi="Arial" w:cs="Arial"/>
                <w:szCs w:val="21"/>
                <w:shd w:val="clear" w:color="auto" w:fill="FFFFFF"/>
              </w:rPr>
            </w:pPr>
            <w:r>
              <w:rPr>
                <w:rFonts w:hint="eastAsia" w:ascii="Arial" w:hAnsi="Arial" w:cs="Arial"/>
                <w:szCs w:val="21"/>
                <w:shd w:val="clear" w:color="auto" w:fill="FFFFFF"/>
              </w:rPr>
              <w:t>1</w:t>
            </w:r>
            <w:r>
              <w:rPr>
                <w:rFonts w:ascii="Arial" w:hAnsi="Arial" w:cs="Arial"/>
                <w:szCs w:val="21"/>
                <w:shd w:val="clear" w:color="auto" w:fill="FFFFFF"/>
              </w:rPr>
              <w:t xml:space="preserve">. </w:t>
            </w:r>
            <w:r>
              <w:rPr>
                <w:rFonts w:hint="eastAsia" w:ascii="Arial" w:hAnsi="Arial" w:cs="Arial"/>
                <w:szCs w:val="21"/>
                <w:shd w:val="clear" w:color="auto" w:fill="FFFFFF"/>
              </w:rPr>
              <w:t>机箱高度为1U，宽度为19英寸，深度≤50cm；</w:t>
            </w:r>
          </w:p>
          <w:p w14:paraId="76367588">
            <w:pPr>
              <w:tabs>
                <w:tab w:val="left" w:pos="6915"/>
              </w:tabs>
              <w:jc w:val="left"/>
              <w:rPr>
                <w:rFonts w:hint="eastAsia" w:ascii="Arial" w:hAnsi="Arial" w:cs="Arial"/>
                <w:szCs w:val="21"/>
                <w:shd w:val="clear" w:color="auto" w:fill="FFFFFF"/>
              </w:rPr>
            </w:pPr>
            <w:r>
              <w:rPr>
                <w:rFonts w:hint="eastAsia" w:ascii="Arial" w:hAnsi="Arial" w:cs="Arial"/>
                <w:szCs w:val="21"/>
                <w:shd w:val="clear" w:color="auto" w:fill="FFFFFF"/>
              </w:rPr>
              <w:t>2</w:t>
            </w:r>
            <w:r>
              <w:rPr>
                <w:rFonts w:ascii="Arial" w:hAnsi="Arial" w:cs="Arial"/>
                <w:szCs w:val="21"/>
                <w:shd w:val="clear" w:color="auto" w:fill="FFFFFF"/>
              </w:rPr>
              <w:t xml:space="preserve">. </w:t>
            </w:r>
            <w:r>
              <w:rPr>
                <w:rFonts w:hint="eastAsia" w:ascii="Arial" w:hAnsi="Arial" w:cs="Arial"/>
                <w:szCs w:val="21"/>
                <w:shd w:val="clear" w:color="auto" w:fill="FFFFFF"/>
              </w:rPr>
              <w:t>8路触发输出通道；</w:t>
            </w:r>
          </w:p>
          <w:p w14:paraId="2247D9D8">
            <w:pPr>
              <w:tabs>
                <w:tab w:val="left" w:pos="6915"/>
              </w:tabs>
              <w:jc w:val="left"/>
              <w:rPr>
                <w:rFonts w:hint="eastAsia" w:ascii="Arial" w:hAnsi="Arial" w:cs="Arial"/>
                <w:szCs w:val="21"/>
                <w:shd w:val="clear" w:color="auto" w:fill="FFFFFF"/>
              </w:rPr>
            </w:pPr>
            <w:r>
              <w:rPr>
                <w:rFonts w:hint="eastAsia" w:ascii="Arial" w:hAnsi="Arial" w:cs="Arial"/>
                <w:szCs w:val="21"/>
                <w:shd w:val="clear" w:color="auto" w:fill="FFFFFF"/>
              </w:rPr>
              <w:t>3</w:t>
            </w:r>
            <w:r>
              <w:rPr>
                <w:rFonts w:ascii="Arial" w:hAnsi="Arial" w:cs="Arial"/>
                <w:szCs w:val="21"/>
                <w:shd w:val="clear" w:color="auto" w:fill="FFFFFF"/>
              </w:rPr>
              <w:t xml:space="preserve">. </w:t>
            </w:r>
            <w:r>
              <w:rPr>
                <w:rFonts w:hint="eastAsia" w:ascii="Arial" w:hAnsi="Arial" w:cs="Arial"/>
                <w:szCs w:val="21"/>
                <w:shd w:val="clear" w:color="auto" w:fill="FFFFFF"/>
              </w:rPr>
              <w:t>从节点输出脉冲信号之间的抖动（jitter）标准差≤50ps；</w:t>
            </w:r>
          </w:p>
          <w:p w14:paraId="397CFBA0">
            <w:pPr>
              <w:tabs>
                <w:tab w:val="left" w:pos="6915"/>
              </w:tabs>
              <w:jc w:val="left"/>
              <w:rPr>
                <w:rFonts w:hint="eastAsia" w:ascii="Arial" w:hAnsi="Arial" w:cs="Arial"/>
                <w:szCs w:val="21"/>
                <w:shd w:val="clear" w:color="auto" w:fill="FFFFFF"/>
              </w:rPr>
            </w:pPr>
            <w:r>
              <w:rPr>
                <w:rFonts w:hint="eastAsia" w:ascii="Arial" w:hAnsi="Arial" w:cs="Arial"/>
                <w:szCs w:val="21"/>
                <w:shd w:val="clear" w:color="auto" w:fill="FFFFFF"/>
              </w:rPr>
              <w:t>4</w:t>
            </w:r>
            <w:r>
              <w:rPr>
                <w:rFonts w:ascii="Arial" w:hAnsi="Arial" w:cs="Arial"/>
                <w:szCs w:val="21"/>
                <w:shd w:val="clear" w:color="auto" w:fill="FFFFFF"/>
              </w:rPr>
              <w:t xml:space="preserve">. </w:t>
            </w:r>
            <w:r>
              <w:rPr>
                <w:rFonts w:hint="eastAsia" w:ascii="Arial" w:hAnsi="Arial" w:cs="Arial"/>
                <w:szCs w:val="21"/>
                <w:shd w:val="clear" w:color="auto" w:fill="FFFFFF"/>
              </w:rPr>
              <w:t>延时调节范围：50ps - 1s，调节最小步长100ps；</w:t>
            </w:r>
          </w:p>
          <w:p w14:paraId="0ACDFFE5">
            <w:pPr>
              <w:tabs>
                <w:tab w:val="left" w:pos="6915"/>
              </w:tabs>
              <w:jc w:val="left"/>
              <w:rPr>
                <w:rFonts w:hint="eastAsia" w:ascii="Arial" w:hAnsi="Arial" w:cs="Arial"/>
                <w:szCs w:val="21"/>
                <w:shd w:val="clear" w:color="auto" w:fill="FFFFFF"/>
              </w:rPr>
            </w:pPr>
            <w:r>
              <w:rPr>
                <w:rFonts w:hint="eastAsia" w:ascii="Arial" w:hAnsi="Arial" w:cs="Arial"/>
                <w:szCs w:val="21"/>
                <w:shd w:val="clear" w:color="auto" w:fill="FFFFFF"/>
              </w:rPr>
              <w:t>5</w:t>
            </w:r>
            <w:r>
              <w:rPr>
                <w:rFonts w:ascii="Arial" w:hAnsi="Arial" w:cs="Arial"/>
                <w:szCs w:val="21"/>
                <w:shd w:val="clear" w:color="auto" w:fill="FFFFFF"/>
              </w:rPr>
              <w:t xml:space="preserve">. </w:t>
            </w:r>
            <w:r>
              <w:rPr>
                <w:rFonts w:hint="eastAsia" w:ascii="Arial" w:hAnsi="Arial" w:cs="Arial"/>
                <w:szCs w:val="21"/>
                <w:shd w:val="clear" w:color="auto" w:fill="FFFFFF"/>
              </w:rPr>
              <w:t>脉宽可调范围：10ns - 10ms，调节最小步长10ns；</w:t>
            </w:r>
          </w:p>
          <w:p w14:paraId="1BDEB4B5">
            <w:pPr>
              <w:tabs>
                <w:tab w:val="left" w:pos="6915"/>
              </w:tabs>
              <w:jc w:val="left"/>
              <w:rPr>
                <w:rFonts w:hint="eastAsia" w:ascii="Arial" w:hAnsi="Arial" w:cs="Arial"/>
                <w:szCs w:val="21"/>
                <w:shd w:val="clear" w:color="auto" w:fill="FFFFFF"/>
              </w:rPr>
            </w:pPr>
            <w:r>
              <w:rPr>
                <w:rFonts w:hint="eastAsia" w:ascii="Arial" w:hAnsi="Arial" w:cs="Arial"/>
                <w:szCs w:val="21"/>
                <w:shd w:val="clear" w:color="auto" w:fill="FFFFFF"/>
              </w:rPr>
              <w:t>6</w:t>
            </w:r>
            <w:r>
              <w:rPr>
                <w:rFonts w:ascii="Arial" w:hAnsi="Arial" w:cs="Arial"/>
                <w:szCs w:val="21"/>
                <w:shd w:val="clear" w:color="auto" w:fill="FFFFFF"/>
              </w:rPr>
              <w:t xml:space="preserve">. </w:t>
            </w:r>
            <w:r>
              <w:rPr>
                <w:rFonts w:hint="eastAsia" w:ascii="Arial" w:hAnsi="Arial" w:cs="Arial"/>
                <w:szCs w:val="21"/>
                <w:shd w:val="clear" w:color="auto" w:fill="FFFFFF"/>
              </w:rPr>
              <w:t>供电一路，220V电压；</w:t>
            </w:r>
          </w:p>
          <w:p w14:paraId="62111BC3">
            <w:pPr>
              <w:tabs>
                <w:tab w:val="left" w:pos="6915"/>
              </w:tabs>
              <w:jc w:val="left"/>
              <w:rPr>
                <w:rFonts w:ascii="Arial" w:hAnsi="Arial" w:cs="Arial"/>
                <w:szCs w:val="21"/>
                <w:shd w:val="clear" w:color="auto" w:fill="FFFFFF"/>
              </w:rPr>
            </w:pPr>
            <w:r>
              <w:rPr>
                <w:rFonts w:hint="eastAsia" w:ascii="Arial" w:hAnsi="Arial" w:cs="Arial"/>
                <w:szCs w:val="21"/>
                <w:shd w:val="clear" w:color="auto" w:fill="FFFFFF"/>
              </w:rPr>
              <w:t>7</w:t>
            </w:r>
            <w:r>
              <w:rPr>
                <w:rFonts w:ascii="Arial" w:hAnsi="Arial" w:cs="Arial"/>
                <w:szCs w:val="21"/>
                <w:shd w:val="clear" w:color="auto" w:fill="FFFFFF"/>
              </w:rPr>
              <w:t xml:space="preserve">. </w:t>
            </w:r>
            <w:r>
              <w:rPr>
                <w:rFonts w:hint="eastAsia" w:ascii="Arial" w:hAnsi="Arial" w:cs="Arial"/>
                <w:szCs w:val="21"/>
                <w:shd w:val="clear" w:color="auto" w:fill="FFFFFF"/>
              </w:rPr>
              <w:t>支持SNMP远程管理协议。</w:t>
            </w:r>
          </w:p>
          <w:p w14:paraId="1C11E347">
            <w:pPr>
              <w:tabs>
                <w:tab w:val="left" w:pos="6915"/>
              </w:tabs>
              <w:jc w:val="left"/>
              <w:rPr>
                <w:rFonts w:hint="eastAsia" w:ascii="Arial" w:hAnsi="Arial" w:cs="Arial"/>
                <w:b/>
                <w:bCs/>
                <w:szCs w:val="21"/>
                <w:shd w:val="clear" w:color="auto" w:fill="FFFFFF"/>
              </w:rPr>
            </w:pPr>
            <w:r>
              <w:rPr>
                <w:rFonts w:hint="eastAsia" w:ascii="Arial" w:hAnsi="Arial" w:cs="Arial"/>
                <w:b/>
                <w:bCs/>
                <w:szCs w:val="21"/>
                <w:shd w:val="clear" w:color="auto" w:fill="FFFFFF"/>
              </w:rPr>
              <w:t>（3）2块时钟从节点</w:t>
            </w:r>
          </w:p>
          <w:p w14:paraId="7548EA5D">
            <w:pPr>
              <w:tabs>
                <w:tab w:val="left" w:pos="6915"/>
              </w:tabs>
              <w:jc w:val="left"/>
              <w:rPr>
                <w:rFonts w:hint="eastAsia" w:ascii="Arial" w:hAnsi="Arial" w:cs="Arial"/>
                <w:szCs w:val="21"/>
                <w:shd w:val="clear" w:color="auto" w:fill="FFFFFF"/>
              </w:rPr>
            </w:pPr>
            <w:r>
              <w:rPr>
                <w:rFonts w:hint="eastAsia" w:ascii="Arial" w:hAnsi="Arial" w:cs="Arial"/>
                <w:szCs w:val="21"/>
                <w:shd w:val="clear" w:color="auto" w:fill="FFFFFF"/>
              </w:rPr>
              <w:t>嵌入型FMC板卡通过定时网络接收来自主节点的时钟信息，相关载板可通过FMC板卡的引脚读取触发脉冲信号。</w:t>
            </w:r>
          </w:p>
          <w:p w14:paraId="0953EE3F">
            <w:pPr>
              <w:tabs>
                <w:tab w:val="left" w:pos="6915"/>
              </w:tabs>
              <w:jc w:val="left"/>
              <w:rPr>
                <w:rFonts w:hint="eastAsia" w:ascii="Arial" w:hAnsi="Arial" w:cs="Arial"/>
                <w:szCs w:val="21"/>
                <w:shd w:val="clear" w:color="auto" w:fill="FFFFFF"/>
              </w:rPr>
            </w:pPr>
            <w:r>
              <w:rPr>
                <w:rFonts w:hint="eastAsia" w:ascii="Arial" w:hAnsi="Arial" w:cs="Arial"/>
                <w:szCs w:val="21"/>
                <w:shd w:val="clear" w:color="auto" w:fill="FFFFFF"/>
              </w:rPr>
              <w:t>1</w:t>
            </w:r>
            <w:r>
              <w:rPr>
                <w:rFonts w:ascii="Arial" w:hAnsi="Arial" w:cs="Arial"/>
                <w:szCs w:val="21"/>
                <w:shd w:val="clear" w:color="auto" w:fill="FFFFFF"/>
              </w:rPr>
              <w:t xml:space="preserve">. </w:t>
            </w:r>
            <w:r>
              <w:rPr>
                <w:rFonts w:hint="eastAsia" w:ascii="Arial" w:hAnsi="Arial" w:cs="Arial"/>
                <w:szCs w:val="21"/>
                <w:shd w:val="clear" w:color="auto" w:fill="FFFFFF"/>
              </w:rPr>
              <w:t>从节点输出脉冲信号之间的抖动（jitter）标准差≤50ps；</w:t>
            </w:r>
          </w:p>
          <w:p w14:paraId="73E78F1F">
            <w:pPr>
              <w:tabs>
                <w:tab w:val="left" w:pos="6915"/>
              </w:tabs>
              <w:jc w:val="left"/>
              <w:rPr>
                <w:rFonts w:hint="eastAsia" w:ascii="Arial" w:hAnsi="Arial" w:cs="Arial"/>
                <w:szCs w:val="21"/>
                <w:shd w:val="clear" w:color="auto" w:fill="FFFFFF"/>
              </w:rPr>
            </w:pPr>
            <w:r>
              <w:rPr>
                <w:rFonts w:hint="eastAsia" w:ascii="Arial" w:hAnsi="Arial" w:cs="Arial"/>
                <w:szCs w:val="21"/>
                <w:shd w:val="clear" w:color="auto" w:fill="FFFFFF"/>
              </w:rPr>
              <w:t>2</w:t>
            </w:r>
            <w:r>
              <w:rPr>
                <w:rFonts w:ascii="Arial" w:hAnsi="Arial" w:cs="Arial"/>
                <w:szCs w:val="21"/>
                <w:shd w:val="clear" w:color="auto" w:fill="FFFFFF"/>
              </w:rPr>
              <w:t xml:space="preserve">. </w:t>
            </w:r>
            <w:r>
              <w:rPr>
                <w:rFonts w:hint="eastAsia" w:ascii="Arial" w:hAnsi="Arial" w:cs="Arial"/>
                <w:szCs w:val="21"/>
                <w:shd w:val="clear" w:color="auto" w:fill="FFFFFF"/>
              </w:rPr>
              <w:t>延时调节范围：50ps - 1s，调节最小步长100ps；</w:t>
            </w:r>
          </w:p>
          <w:p w14:paraId="156A86DC">
            <w:pPr>
              <w:tabs>
                <w:tab w:val="left" w:pos="6915"/>
              </w:tabs>
              <w:jc w:val="left"/>
              <w:rPr>
                <w:rFonts w:hint="eastAsia" w:ascii="Arial" w:hAnsi="Arial" w:cs="Arial"/>
                <w:szCs w:val="21"/>
                <w:shd w:val="clear" w:color="auto" w:fill="FFFFFF"/>
              </w:rPr>
            </w:pPr>
            <w:r>
              <w:rPr>
                <w:rFonts w:hint="eastAsia" w:ascii="Arial" w:hAnsi="Arial" w:cs="Arial"/>
                <w:szCs w:val="21"/>
                <w:shd w:val="clear" w:color="auto" w:fill="FFFFFF"/>
              </w:rPr>
              <w:t>3</w:t>
            </w:r>
            <w:r>
              <w:rPr>
                <w:rFonts w:ascii="Arial" w:hAnsi="Arial" w:cs="Arial"/>
                <w:szCs w:val="21"/>
                <w:shd w:val="clear" w:color="auto" w:fill="FFFFFF"/>
              </w:rPr>
              <w:t xml:space="preserve">. </w:t>
            </w:r>
            <w:r>
              <w:rPr>
                <w:rFonts w:hint="eastAsia" w:ascii="Arial" w:hAnsi="Arial" w:cs="Arial"/>
                <w:szCs w:val="21"/>
                <w:shd w:val="clear" w:color="auto" w:fill="FFFFFF"/>
              </w:rPr>
              <w:t>脉宽可调范围：10ns - 10ms，调节最小步长10ns；</w:t>
            </w:r>
          </w:p>
          <w:p w14:paraId="32C45D4C">
            <w:pPr>
              <w:tabs>
                <w:tab w:val="left" w:pos="6915"/>
              </w:tabs>
              <w:jc w:val="left"/>
              <w:rPr>
                <w:rFonts w:hint="eastAsia" w:ascii="Arial" w:hAnsi="Arial" w:cs="Arial"/>
                <w:szCs w:val="21"/>
                <w:shd w:val="clear" w:color="auto" w:fill="FFFFFF"/>
              </w:rPr>
            </w:pPr>
            <w:r>
              <w:rPr>
                <w:rFonts w:hint="eastAsia" w:ascii="Arial" w:hAnsi="Arial" w:cs="Arial"/>
                <w:szCs w:val="21"/>
                <w:shd w:val="clear" w:color="auto" w:fill="FFFFFF"/>
              </w:rPr>
              <w:t>4</w:t>
            </w:r>
            <w:r>
              <w:rPr>
                <w:rFonts w:ascii="Arial" w:hAnsi="Arial" w:cs="Arial"/>
                <w:szCs w:val="21"/>
                <w:shd w:val="clear" w:color="auto" w:fill="FFFFFF"/>
              </w:rPr>
              <w:t xml:space="preserve">. </w:t>
            </w:r>
            <w:r>
              <w:rPr>
                <w:rFonts w:hint="eastAsia" w:ascii="Arial" w:hAnsi="Arial" w:cs="Arial"/>
                <w:szCs w:val="21"/>
                <w:shd w:val="clear" w:color="auto" w:fill="FFFFFF"/>
              </w:rPr>
              <w:t>1路触发输出通道，可通过FMC接口引脚输出至载板；</w:t>
            </w:r>
          </w:p>
          <w:p w14:paraId="323BE901">
            <w:pPr>
              <w:tabs>
                <w:tab w:val="left" w:pos="6915"/>
              </w:tabs>
              <w:jc w:val="left"/>
              <w:rPr>
                <w:rFonts w:hint="eastAsia" w:ascii="Arial" w:hAnsi="Arial" w:cs="Arial"/>
                <w:szCs w:val="21"/>
                <w:shd w:val="clear" w:color="auto" w:fill="FFFFFF"/>
              </w:rPr>
            </w:pPr>
            <w:r>
              <w:rPr>
                <w:rFonts w:hint="eastAsia" w:ascii="Arial" w:hAnsi="Arial" w:cs="Arial"/>
                <w:szCs w:val="21"/>
                <w:shd w:val="clear" w:color="auto" w:fill="FFFFFF"/>
              </w:rPr>
              <w:t>5</w:t>
            </w:r>
            <w:r>
              <w:rPr>
                <w:rFonts w:ascii="Arial" w:hAnsi="Arial" w:cs="Arial"/>
                <w:szCs w:val="21"/>
                <w:shd w:val="clear" w:color="auto" w:fill="FFFFFF"/>
              </w:rPr>
              <w:t xml:space="preserve">. </w:t>
            </w:r>
            <w:r>
              <w:rPr>
                <w:rFonts w:hint="eastAsia" w:ascii="Arial" w:hAnsi="Arial" w:cs="Arial"/>
                <w:szCs w:val="21"/>
                <w:shd w:val="clear" w:color="auto" w:fill="FFFFFF"/>
              </w:rPr>
              <w:t>支持SNMP远程管理协议。</w:t>
            </w:r>
          </w:p>
          <w:p w14:paraId="3F668E46">
            <w:pPr>
              <w:tabs>
                <w:tab w:val="left" w:pos="6915"/>
              </w:tabs>
              <w:jc w:val="left"/>
              <w:rPr>
                <w:rFonts w:hint="eastAsia" w:ascii="Arial" w:hAnsi="Arial" w:cs="Arial"/>
                <w:b/>
                <w:bCs/>
                <w:szCs w:val="21"/>
                <w:shd w:val="clear" w:color="auto" w:fill="FFFFFF"/>
              </w:rPr>
            </w:pPr>
            <w:r>
              <w:rPr>
                <w:rFonts w:hint="eastAsia" w:ascii="Arial" w:hAnsi="Arial" w:cs="Arial"/>
                <w:b/>
                <w:bCs/>
                <w:szCs w:val="21"/>
                <w:shd w:val="clear" w:color="auto" w:fill="FFFFFF"/>
              </w:rPr>
              <w:t>（4）WR定时软件开发</w:t>
            </w:r>
          </w:p>
          <w:p w14:paraId="1714DC12">
            <w:pPr>
              <w:tabs>
                <w:tab w:val="left" w:pos="6915"/>
              </w:tabs>
              <w:jc w:val="left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  <w:r>
              <w:rPr>
                <w:rFonts w:hint="eastAsia" w:ascii="Arial" w:hAnsi="Arial" w:cs="Arial"/>
                <w:szCs w:val="21"/>
                <w:shd w:val="clear" w:color="auto" w:fill="FFFFFF"/>
              </w:rPr>
              <w:t>支持通过SNMP协议进行组群管理与寄存器读写，包含对时钟脉冲输出延时与脉宽的设置与读取等。</w:t>
            </w:r>
          </w:p>
        </w:tc>
        <w:tc>
          <w:tcPr>
            <w:tcW w:w="1418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6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2D49D3">
            <w:pPr>
              <w:tabs>
                <w:tab w:val="left" w:pos="6915"/>
              </w:tabs>
              <w:jc w:val="left"/>
              <w:rPr>
                <w:rFonts w:hint="eastAsia"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/>
                <w:szCs w:val="21"/>
              </w:rPr>
              <w:t>合同签订后</w:t>
            </w:r>
            <w:r>
              <w:rPr>
                <w:szCs w:val="21"/>
              </w:rPr>
              <w:t>60</w:t>
            </w:r>
            <w:r>
              <w:rPr>
                <w:rFonts w:hint="eastAsia"/>
                <w:szCs w:val="21"/>
              </w:rPr>
              <w:t>天内将货物送达至甲方指定地点。</w:t>
            </w:r>
          </w:p>
          <w:p w14:paraId="28AAA73D">
            <w:pPr>
              <w:tabs>
                <w:tab w:val="left" w:pos="6915"/>
              </w:tabs>
              <w:jc w:val="left"/>
              <w:rPr>
                <w:rFonts w:hint="eastAsia"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/>
                <w:szCs w:val="21"/>
              </w:rPr>
              <w:t>合同签订后</w:t>
            </w:r>
            <w:r>
              <w:rPr>
                <w:rFonts w:hint="eastAsia"/>
                <w:szCs w:val="21"/>
                <w:lang w:val="en-US" w:eastAsia="zh-CN"/>
              </w:rPr>
              <w:t>预付合同总额的</w:t>
            </w:r>
            <w:r>
              <w:rPr>
                <w:rFonts w:hint="eastAsia"/>
                <w:szCs w:val="21"/>
              </w:rPr>
              <w:t>50%，货到验收后凭发票报销支付尾款。</w:t>
            </w:r>
          </w:p>
          <w:p w14:paraId="02572345">
            <w:pPr>
              <w:tabs>
                <w:tab w:val="left" w:pos="6915"/>
              </w:tabs>
              <w:jc w:val="left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验收指标及验收要求：</w:t>
            </w:r>
            <w:r>
              <w:rPr>
                <w:rFonts w:hint="eastAsia"/>
                <w:szCs w:val="21"/>
              </w:rPr>
              <w:t>厂家提供出厂测试报告。</w:t>
            </w:r>
          </w:p>
          <w:p w14:paraId="1AF25360">
            <w:pPr>
              <w:tabs>
                <w:tab w:val="left" w:pos="6915"/>
              </w:tabs>
              <w:jc w:val="left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/>
                <w:szCs w:val="21"/>
              </w:rPr>
              <w:t>产品质保期为</w:t>
            </w:r>
            <w:r>
              <w:rPr>
                <w:rFonts w:hint="eastAsia"/>
                <w:szCs w:val="21"/>
                <w:u w:val="single"/>
              </w:rPr>
              <w:t xml:space="preserve">  24  </w:t>
            </w:r>
            <w:r>
              <w:rPr>
                <w:rFonts w:hint="eastAsia"/>
                <w:szCs w:val="21"/>
              </w:rPr>
              <w:t>个月，时间自验收合格之日起计算。</w:t>
            </w:r>
            <w:bookmarkStart w:id="0" w:name="_GoBack"/>
            <w:bookmarkEnd w:id="0"/>
          </w:p>
        </w:tc>
        <w:tc>
          <w:tcPr>
            <w:tcW w:w="1418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6DFFEB29">
      <w:pPr>
        <w:ind w:right="840"/>
        <w:rPr>
          <w:sz w:val="24"/>
        </w:rPr>
      </w:pPr>
    </w:p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25804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438B5"/>
    <w:rsid w:val="00363C73"/>
    <w:rsid w:val="003923FC"/>
    <w:rsid w:val="003C2330"/>
    <w:rsid w:val="003C7C5A"/>
    <w:rsid w:val="004626C3"/>
    <w:rsid w:val="00474B94"/>
    <w:rsid w:val="004973C3"/>
    <w:rsid w:val="004B0D2F"/>
    <w:rsid w:val="00516FB3"/>
    <w:rsid w:val="00547A75"/>
    <w:rsid w:val="00584F75"/>
    <w:rsid w:val="005C4758"/>
    <w:rsid w:val="005C4AA6"/>
    <w:rsid w:val="005E2C0C"/>
    <w:rsid w:val="005F14E0"/>
    <w:rsid w:val="005F7E7B"/>
    <w:rsid w:val="006074C0"/>
    <w:rsid w:val="00630F8F"/>
    <w:rsid w:val="00642CDA"/>
    <w:rsid w:val="00670B3D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A4C29"/>
    <w:rsid w:val="007B2AE3"/>
    <w:rsid w:val="00811B08"/>
    <w:rsid w:val="00825420"/>
    <w:rsid w:val="00832C3E"/>
    <w:rsid w:val="00872767"/>
    <w:rsid w:val="00877DA3"/>
    <w:rsid w:val="00886A2E"/>
    <w:rsid w:val="008A717C"/>
    <w:rsid w:val="008D62B6"/>
    <w:rsid w:val="008E3DB8"/>
    <w:rsid w:val="008F0FFC"/>
    <w:rsid w:val="008F5C2B"/>
    <w:rsid w:val="009149BA"/>
    <w:rsid w:val="00961437"/>
    <w:rsid w:val="00965011"/>
    <w:rsid w:val="00995429"/>
    <w:rsid w:val="00996AC3"/>
    <w:rsid w:val="009B6E26"/>
    <w:rsid w:val="009C3224"/>
    <w:rsid w:val="009C4C31"/>
    <w:rsid w:val="009F0C82"/>
    <w:rsid w:val="009F5C3A"/>
    <w:rsid w:val="00A01094"/>
    <w:rsid w:val="00A11447"/>
    <w:rsid w:val="00A20D98"/>
    <w:rsid w:val="00A27625"/>
    <w:rsid w:val="00A44E8A"/>
    <w:rsid w:val="00A533CA"/>
    <w:rsid w:val="00A8112C"/>
    <w:rsid w:val="00AC1D37"/>
    <w:rsid w:val="00AC67EF"/>
    <w:rsid w:val="00AF7A8B"/>
    <w:rsid w:val="00B04741"/>
    <w:rsid w:val="00B311D0"/>
    <w:rsid w:val="00B64004"/>
    <w:rsid w:val="00B7785A"/>
    <w:rsid w:val="00B90DC2"/>
    <w:rsid w:val="00B971DE"/>
    <w:rsid w:val="00BA1B3F"/>
    <w:rsid w:val="00BC2767"/>
    <w:rsid w:val="00C102A3"/>
    <w:rsid w:val="00C1298E"/>
    <w:rsid w:val="00C26D9F"/>
    <w:rsid w:val="00C442AD"/>
    <w:rsid w:val="00CA3288"/>
    <w:rsid w:val="00CA3E3B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412A"/>
    <w:rsid w:val="00EA6BA9"/>
    <w:rsid w:val="00F347F0"/>
    <w:rsid w:val="00F34AE9"/>
    <w:rsid w:val="00F357B0"/>
    <w:rsid w:val="00F43549"/>
    <w:rsid w:val="00F50B62"/>
    <w:rsid w:val="00F70F95"/>
    <w:rsid w:val="00F829DE"/>
    <w:rsid w:val="00F82AA6"/>
    <w:rsid w:val="00F855E3"/>
    <w:rsid w:val="00FC7C08"/>
    <w:rsid w:val="00FE15FA"/>
    <w:rsid w:val="0C7718F8"/>
    <w:rsid w:val="20D175B3"/>
    <w:rsid w:val="2D070EC5"/>
    <w:rsid w:val="46BB5348"/>
    <w:rsid w:val="51936088"/>
    <w:rsid w:val="5EBC5915"/>
    <w:rsid w:val="668D6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34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2</Pages>
  <Words>550</Words>
  <Characters>584</Characters>
  <Lines>4</Lines>
  <Paragraphs>1</Paragraphs>
  <TotalTime>0</TotalTime>
  <ScaleCrop>false</ScaleCrop>
  <LinksUpToDate>false</LinksUpToDate>
  <CharactersWithSpaces>617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2026-05-25T07:14:33Z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eyJoZGlkIjoiMzc0OTQ1OWZiNDc3Y2MyZmZmZWIzYzRlODQ4NDE3OTYiLCJ1c2VySWQiOiIxNzc0OTA2Mjk1In0=</vt:lpwstr>
  </property>
  <property fmtid="{D5CDD505-2E9C-101B-9397-08002B2CF9AE}" pid="3" name="KSOProductBuildVer">
    <vt:lpwstr>2052-12.1.0.23542</vt:lpwstr>
  </property>
  <property fmtid="{D5CDD505-2E9C-101B-9397-08002B2CF9AE}" pid="4" name="ICV">
    <vt:lpwstr>20B1B4D6E71F47CB8E65CCEFBC87FC75_12</vt:lpwstr>
  </property>
</Properties>
</file>