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分子泵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63AA37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1、磁悬浮结构；</w:t>
            </w:r>
          </w:p>
          <w:p w14:paraId="075DC3E2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2、1台ISO-F 250橡胶圈密封，2台DN 250CF；</w:t>
            </w:r>
          </w:p>
          <w:p w14:paraId="60ECC12C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3、抽速≥</w:t>
            </w:r>
            <w:r>
              <w:rPr>
                <w:szCs w:val="21"/>
              </w:rPr>
              <w:t>19</w:t>
            </w:r>
            <w:r>
              <w:rPr>
                <w:rFonts w:hint="eastAsia"/>
                <w:szCs w:val="21"/>
              </w:rPr>
              <w:t>00 l/s（N2）；</w:t>
            </w:r>
          </w:p>
          <w:p w14:paraId="397C8E24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4、极限压强≤5E-7 Pa；</w:t>
            </w:r>
          </w:p>
          <w:p w14:paraId="2F165383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5、压缩比＞5E8 Pa；</w:t>
            </w:r>
          </w:p>
          <w:p w14:paraId="254B520E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6、泵体水平放置；</w:t>
            </w:r>
          </w:p>
          <w:p w14:paraId="34BF953E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7、叶片具备防污镀层；</w:t>
            </w:r>
          </w:p>
          <w:p w14:paraId="7963D6A6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rFonts w:hint="eastAsia"/>
                <w:szCs w:val="21"/>
              </w:rPr>
              <w:t>8、具备除污吹扫加热功能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预付款后</w:t>
            </w:r>
            <w:r>
              <w:rPr>
                <w:rFonts w:ascii="宋体" w:hAnsi="宋体"/>
                <w:b w:val="0"/>
                <w:bCs/>
                <w:szCs w:val="21"/>
              </w:rPr>
              <w:t>3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个月。</w:t>
            </w:r>
          </w:p>
          <w:p w14:paraId="74A88A96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一次性交付。</w:t>
            </w:r>
          </w:p>
          <w:p w14:paraId="34F3AA5C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bookmarkStart w:id="0" w:name="_Hlk201049462"/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二选一</w:t>
            </w:r>
          </w:p>
          <w:p w14:paraId="1263B4E5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合同签订后预付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合同总额的3</w:t>
            </w:r>
            <w:r>
              <w:rPr>
                <w:rFonts w:ascii="宋体" w:hAnsi="宋体"/>
                <w:b w:val="0"/>
                <w:bCs/>
                <w:szCs w:val="21"/>
              </w:rPr>
              <w:t>0%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，设备到货并调试验收合格后，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支付合同尾款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。</w:t>
            </w:r>
            <w:bookmarkEnd w:id="0"/>
          </w:p>
          <w:p w14:paraId="0FBA551B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信用证方式或凭发货单据（运单）电汇预付比例不超过90%，尾款待验收合格之后支付。</w:t>
            </w:r>
          </w:p>
          <w:p w14:paraId="73C7A0F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验收要求及验收指标：</w:t>
            </w:r>
          </w:p>
          <w:p w14:paraId="2F14E2BA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所有采购设备到达交货地点后，在采购人现场检验，主要验收内容如下：</w:t>
            </w:r>
          </w:p>
          <w:p w14:paraId="5B709268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（1）对运输过程中产生的设备损坏，采购人有权拒绝接受，并由供应商负责免费更换；</w:t>
            </w:r>
          </w:p>
          <w:p w14:paraId="107C4645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（2）设备到货后，供应商需要到现场进行验收，到货验收需供应商完整的产品质量证明文件，产品数量及型号相符，视为验收合格；</w:t>
            </w:r>
          </w:p>
          <w:p w14:paraId="608324A2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）供应商提交的技术文档应包括且不限于技术规格说明书、操作手册等资料。</w:t>
            </w:r>
          </w:p>
          <w:p w14:paraId="7DFE83F0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ascii="宋体" w:hAnsi="宋体"/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（1）设备供应商提供分子泵的安装调试服务，供应商需在到货后3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个工作日内派人到指定现场进行指导安装；</w:t>
            </w:r>
          </w:p>
          <w:p w14:paraId="3D4BBC35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（2）提供至少1年的免费保修，保修期自验收签字之日算起；</w:t>
            </w:r>
          </w:p>
          <w:p w14:paraId="148AD38A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（3）保修期间产品出现问题时，供应商需</w:t>
            </w:r>
            <w:r>
              <w:rPr>
                <w:rFonts w:ascii="宋体" w:hAnsi="宋体"/>
                <w:szCs w:val="21"/>
              </w:rPr>
              <w:t>12</w:t>
            </w:r>
            <w:r>
              <w:rPr>
                <w:rFonts w:hint="eastAsia" w:ascii="宋体" w:hAnsi="宋体"/>
                <w:szCs w:val="21"/>
              </w:rPr>
              <w:t>h内做出响应，4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hint="eastAsia" w:ascii="宋体" w:hAnsi="宋体"/>
                <w:szCs w:val="21"/>
              </w:rPr>
              <w:t>h内前往现场进行故障排查。</w:t>
            </w:r>
            <w:bookmarkStart w:id="1" w:name="_GoBack"/>
            <w:bookmarkEnd w:id="1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BB6B0D"/>
    <w:multiLevelType w:val="singleLevel"/>
    <w:tmpl w:val="8CBB6B0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2D070EC5"/>
    <w:rsid w:val="3228012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462</Words>
  <Characters>571</Characters>
  <Lines>5</Lines>
  <Paragraphs>1</Paragraphs>
  <TotalTime>0</TotalTime>
  <ScaleCrop>false</ScaleCrop>
  <LinksUpToDate>false</LinksUpToDate>
  <CharactersWithSpaces>615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2025-12-05T01:42:47Z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