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6"/>
        </w:rPr>
      </w:pPr>
      <w:r>
        <w:rPr>
          <w:sz w:val="36"/>
        </w:rPr>
        <w:t>中国科学技术大学国家同步辐射实验室</w:t>
      </w:r>
    </w:p>
    <w:p>
      <w:pPr>
        <w:jc w:val="center"/>
        <w:rPr>
          <w:sz w:val="36"/>
        </w:rPr>
      </w:pPr>
      <w:bookmarkStart w:id="3" w:name="_GoBack"/>
      <w:r>
        <w:rPr>
          <w:rFonts w:hint="eastAsia"/>
          <w:sz w:val="36"/>
        </w:rPr>
        <w:t>技术指标供应商确认表</w:t>
      </w:r>
    </w:p>
    <w:bookmarkEnd w:id="3"/>
    <w:p/>
    <w:tbl>
      <w:tblPr>
        <w:tblStyle w:val="5"/>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021"/>
        <w:gridCol w:w="5619"/>
        <w:gridCol w:w="1595"/>
        <w:gridCol w:w="875"/>
      </w:tblGrid>
      <w:tr>
        <w:trPr>
          <w:trHeight w:val="976" w:hRule="atLeast"/>
        </w:trPr>
        <w:tc>
          <w:tcPr>
            <w:tcW w:w="671" w:type="dxa"/>
            <w:vAlign w:val="center"/>
          </w:tcPr>
          <w:p>
            <w:pPr>
              <w:jc w:val="center"/>
              <w:rPr>
                <w:sz w:val="24"/>
              </w:rPr>
            </w:pPr>
            <w:r>
              <w:rPr>
                <w:rFonts w:hint="eastAsia"/>
                <w:sz w:val="24"/>
              </w:rPr>
              <w:t>序号</w:t>
            </w:r>
          </w:p>
        </w:tc>
        <w:tc>
          <w:tcPr>
            <w:tcW w:w="1021" w:type="dxa"/>
            <w:vAlign w:val="center"/>
          </w:tcPr>
          <w:p>
            <w:pPr>
              <w:jc w:val="center"/>
              <w:rPr>
                <w:sz w:val="24"/>
              </w:rPr>
            </w:pPr>
            <w:r>
              <w:rPr>
                <w:rFonts w:hint="eastAsia"/>
                <w:sz w:val="24"/>
              </w:rPr>
              <w:t>名称</w:t>
            </w:r>
          </w:p>
        </w:tc>
        <w:tc>
          <w:tcPr>
            <w:tcW w:w="5619" w:type="dxa"/>
            <w:vAlign w:val="center"/>
          </w:tcPr>
          <w:p>
            <w:pPr>
              <w:jc w:val="center"/>
              <w:rPr>
                <w:sz w:val="24"/>
              </w:rPr>
            </w:pPr>
            <w:r>
              <w:rPr>
                <w:rFonts w:hint="eastAsia"/>
                <w:sz w:val="24"/>
              </w:rPr>
              <w:t>技术指标</w:t>
            </w:r>
          </w:p>
        </w:tc>
        <w:tc>
          <w:tcPr>
            <w:tcW w:w="1595"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sz w:val="24"/>
              </w:rPr>
            </w:pPr>
            <w:r>
              <w:rPr>
                <w:rFonts w:hint="eastAsia"/>
                <w:sz w:val="24"/>
              </w:rPr>
              <w:t>偏离说明</w:t>
            </w:r>
          </w:p>
          <w:p>
            <w:pPr>
              <w:keepNext w:val="0"/>
              <w:keepLines w:val="0"/>
              <w:pageBreakBefore w:val="0"/>
              <w:widowControl w:val="0"/>
              <w:kinsoku/>
              <w:wordWrap/>
              <w:overflowPunct/>
              <w:topLinePunct w:val="0"/>
              <w:autoSpaceDE/>
              <w:autoSpaceDN/>
              <w:bidi w:val="0"/>
              <w:adjustRightInd/>
              <w:snapToGrid w:val="0"/>
              <w:jc w:val="center"/>
              <w:textAlignment w:val="auto"/>
              <w:rPr>
                <w:sz w:val="24"/>
              </w:rPr>
            </w:pPr>
            <w:r>
              <w:rPr>
                <w:rFonts w:hint="eastAsia"/>
                <w:sz w:val="24"/>
              </w:rPr>
              <w:t>(</w:t>
            </w:r>
            <w:r>
              <w:rPr>
                <w:sz w:val="24"/>
              </w:rPr>
              <w:t>无偏离</w:t>
            </w:r>
            <w:r>
              <w:rPr>
                <w:rFonts w:hint="eastAsia"/>
                <w:sz w:val="24"/>
              </w:rPr>
              <w:t>/</w:t>
            </w:r>
            <w:r>
              <w:rPr>
                <w:sz w:val="24"/>
              </w:rPr>
              <w:t>正偏离</w:t>
            </w:r>
            <w:r>
              <w:rPr>
                <w:rFonts w:hint="eastAsia"/>
                <w:sz w:val="24"/>
              </w:rPr>
              <w:t>/</w:t>
            </w:r>
            <w:r>
              <w:rPr>
                <w:sz w:val="24"/>
              </w:rPr>
              <w:t>负偏离</w:t>
            </w:r>
            <w:r>
              <w:rPr>
                <w:rFonts w:hint="eastAsia"/>
                <w:sz w:val="24"/>
              </w:rPr>
              <w:t>)</w:t>
            </w:r>
          </w:p>
        </w:tc>
        <w:tc>
          <w:tcPr>
            <w:tcW w:w="875" w:type="dxa"/>
            <w:vAlign w:val="center"/>
          </w:tcPr>
          <w:p>
            <w:pPr>
              <w:jc w:val="center"/>
              <w:rPr>
                <w:sz w:val="24"/>
              </w:rPr>
            </w:pPr>
            <w:r>
              <w:rPr>
                <w:rFonts w:hint="eastAsia"/>
                <w:sz w:val="24"/>
              </w:rPr>
              <w:t>偏离值</w:t>
            </w:r>
          </w:p>
        </w:tc>
      </w:tr>
      <w:tr>
        <w:trPr>
          <w:trHeight w:val="408" w:hRule="atLeast"/>
        </w:trPr>
        <w:tc>
          <w:tcPr>
            <w:tcW w:w="671" w:type="dxa"/>
            <w:vAlign w:val="center"/>
          </w:tcPr>
          <w:p>
            <w:pPr>
              <w:spacing w:line="400" w:lineRule="exact"/>
              <w:jc w:val="center"/>
            </w:pPr>
            <w:r>
              <w:rPr>
                <w:rFonts w:hint="eastAsia"/>
              </w:rPr>
              <w:t>1</w:t>
            </w:r>
          </w:p>
        </w:tc>
        <w:tc>
          <w:tcPr>
            <w:tcW w:w="10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cs="宋体" w:asciiTheme="minorEastAsia" w:hAnsiTheme="minorEastAsia"/>
                <w:color w:val="000000"/>
                <w:kern w:val="0"/>
              </w:rPr>
            </w:pPr>
            <w:r>
              <w:rPr>
                <w:rFonts w:hint="eastAsia"/>
                <w:sz w:val="24"/>
                <w:szCs w:val="24"/>
                <w:lang w:val="en-US" w:eastAsia="zh-CN"/>
              </w:rPr>
              <w:t>超高真空密封组件</w:t>
            </w:r>
          </w:p>
        </w:tc>
        <w:tc>
          <w:tcPr>
            <w:tcW w:w="5619"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tabs>
                <w:tab w:val="left" w:pos="6915"/>
              </w:tabs>
              <w:kinsoku/>
              <w:wordWrap/>
              <w:overflowPunct/>
              <w:topLinePunct w:val="0"/>
              <w:autoSpaceDE/>
              <w:autoSpaceDN/>
              <w:bidi w:val="0"/>
              <w:adjustRightInd/>
              <w:snapToGrid w:val="0"/>
              <w:spacing w:line="300" w:lineRule="auto"/>
              <w:jc w:val="left"/>
              <w:textAlignment w:val="auto"/>
              <w:rPr>
                <w:rFonts w:hint="default" w:ascii="宋体" w:hAnsi="宋体" w:eastAsiaTheme="minorEastAsia"/>
                <w:b/>
                <w:sz w:val="24"/>
                <w:lang w:val="en-US" w:eastAsia="zh-CN"/>
              </w:rPr>
            </w:pPr>
            <w:r>
              <w:rPr>
                <w:rFonts w:hint="eastAsia" w:ascii="宋体" w:hAnsi="宋体"/>
                <w:b/>
                <w:sz w:val="24"/>
              </w:rPr>
              <w:t>规格和技术参数：</w:t>
            </w:r>
          </w:p>
          <w:p>
            <w:pPr>
              <w:keepNext w:val="0"/>
              <w:keepLines w:val="0"/>
              <w:pageBreakBefore w:val="0"/>
              <w:widowControl w:val="0"/>
              <w:kinsoku/>
              <w:wordWrap/>
              <w:overflowPunct/>
              <w:topLinePunct w:val="0"/>
              <w:autoSpaceDE/>
              <w:autoSpaceDN/>
              <w:bidi w:val="0"/>
              <w:adjustRightInd/>
              <w:snapToGrid w:val="0"/>
              <w:spacing w:line="300" w:lineRule="auto"/>
              <w:textAlignment w:val="auto"/>
              <w:rPr>
                <w:sz w:val="24"/>
                <w:szCs w:val="24"/>
              </w:rPr>
            </w:pPr>
            <w:bookmarkStart w:id="0" w:name="OLE_LINK3"/>
            <w:bookmarkStart w:id="1" w:name="OLE_LINK2"/>
            <w:bookmarkStart w:id="2" w:name="OLE_LINK1"/>
            <w:r>
              <w:rPr>
                <w:rFonts w:hint="eastAsia"/>
                <w:sz w:val="24"/>
                <w:szCs w:val="24"/>
              </w:rPr>
              <w:t>（1）材料：无氧铜C101或C103；</w:t>
            </w:r>
          </w:p>
          <w:p>
            <w:pPr>
              <w:keepNext w:val="0"/>
              <w:keepLines w:val="0"/>
              <w:pageBreakBefore w:val="0"/>
              <w:widowControl w:val="0"/>
              <w:kinsoku/>
              <w:wordWrap/>
              <w:overflowPunct/>
              <w:topLinePunct w:val="0"/>
              <w:autoSpaceDE/>
              <w:autoSpaceDN/>
              <w:bidi w:val="0"/>
              <w:adjustRightInd/>
              <w:snapToGrid w:val="0"/>
              <w:spacing w:line="300" w:lineRule="auto"/>
              <w:textAlignment w:val="auto"/>
              <w:rPr>
                <w:sz w:val="24"/>
                <w:szCs w:val="24"/>
              </w:rPr>
            </w:pPr>
            <w:r>
              <w:rPr>
                <w:rFonts w:hint="eastAsia"/>
                <w:sz w:val="24"/>
                <w:szCs w:val="24"/>
              </w:rPr>
              <w:t>（2）整体表面粗糙度Ra不大于1.6μm，表面无氧化；</w:t>
            </w:r>
          </w:p>
          <w:p>
            <w:pPr>
              <w:keepNext w:val="0"/>
              <w:keepLines w:val="0"/>
              <w:pageBreakBefore w:val="0"/>
              <w:widowControl w:val="0"/>
              <w:kinsoku/>
              <w:wordWrap/>
              <w:overflowPunct/>
              <w:topLinePunct w:val="0"/>
              <w:autoSpaceDE/>
              <w:autoSpaceDN/>
              <w:bidi w:val="0"/>
              <w:adjustRightInd/>
              <w:snapToGrid w:val="0"/>
              <w:spacing w:line="300" w:lineRule="auto"/>
              <w:textAlignment w:val="auto"/>
              <w:rPr>
                <w:sz w:val="24"/>
                <w:szCs w:val="24"/>
              </w:rPr>
            </w:pPr>
            <w:r>
              <w:rPr>
                <w:rFonts w:hint="eastAsia"/>
                <w:sz w:val="24"/>
                <w:szCs w:val="24"/>
              </w:rPr>
              <w:t>（3）超高真空密封组件内外孔公差 ±0.1 mm；</w:t>
            </w:r>
          </w:p>
          <w:p>
            <w:pPr>
              <w:keepNext w:val="0"/>
              <w:keepLines w:val="0"/>
              <w:pageBreakBefore w:val="0"/>
              <w:widowControl w:val="0"/>
              <w:kinsoku/>
              <w:wordWrap/>
              <w:overflowPunct/>
              <w:topLinePunct w:val="0"/>
              <w:autoSpaceDE/>
              <w:autoSpaceDN/>
              <w:bidi w:val="0"/>
              <w:adjustRightInd/>
              <w:snapToGrid w:val="0"/>
              <w:spacing w:line="300" w:lineRule="auto"/>
              <w:textAlignment w:val="auto"/>
              <w:rPr>
                <w:sz w:val="24"/>
                <w:szCs w:val="24"/>
              </w:rPr>
            </w:pPr>
            <w:r>
              <w:rPr>
                <w:rFonts w:hint="eastAsia"/>
                <w:sz w:val="24"/>
                <w:szCs w:val="24"/>
              </w:rPr>
              <w:t>（4）超高真空密封组件的密封圈刀口位置无划痕划伤、磕碰、缺口等缺陷，投标人需全检；</w:t>
            </w:r>
          </w:p>
          <w:p>
            <w:pPr>
              <w:keepNext w:val="0"/>
              <w:keepLines w:val="0"/>
              <w:pageBreakBefore w:val="0"/>
              <w:widowControl w:val="0"/>
              <w:kinsoku/>
              <w:wordWrap/>
              <w:overflowPunct/>
              <w:topLinePunct w:val="0"/>
              <w:autoSpaceDE/>
              <w:autoSpaceDN/>
              <w:bidi w:val="0"/>
              <w:adjustRightInd/>
              <w:snapToGrid w:val="0"/>
              <w:spacing w:line="300" w:lineRule="auto"/>
              <w:textAlignment w:val="auto"/>
              <w:rPr>
                <w:sz w:val="24"/>
                <w:szCs w:val="24"/>
              </w:rPr>
            </w:pPr>
            <w:r>
              <w:rPr>
                <w:rFonts w:hint="eastAsia"/>
                <w:sz w:val="24"/>
                <w:szCs w:val="24"/>
              </w:rPr>
              <w:t>（5）密封圈需超声波清洗保证表面无油，万级（ISO7）以上洁净环境中酒精清洁后包装；</w:t>
            </w:r>
          </w:p>
          <w:p>
            <w:pPr>
              <w:keepNext w:val="0"/>
              <w:keepLines w:val="0"/>
              <w:pageBreakBefore w:val="0"/>
              <w:widowControl w:val="0"/>
              <w:kinsoku/>
              <w:wordWrap/>
              <w:overflowPunct/>
              <w:topLinePunct w:val="0"/>
              <w:autoSpaceDE/>
              <w:autoSpaceDN/>
              <w:bidi w:val="0"/>
              <w:adjustRightInd/>
              <w:snapToGrid w:val="0"/>
              <w:spacing w:line="300" w:lineRule="auto"/>
              <w:textAlignment w:val="auto"/>
              <w:rPr>
                <w:sz w:val="24"/>
                <w:szCs w:val="24"/>
              </w:rPr>
            </w:pPr>
            <w:r>
              <w:rPr>
                <w:rFonts w:hint="eastAsia"/>
                <w:sz w:val="24"/>
                <w:szCs w:val="24"/>
              </w:rPr>
              <w:t>（6）硬度：表2超高真空密封组件成品的表面硬度值在50±10 HB范围，测试后根据具体的密封效果调整硬度的范围并确定最终硬度取值范围。每加工批次每种规格按照密封圈相同工艺加工1% (不足两件时按两件计取）取样，以测试密封圈硬度；</w:t>
            </w:r>
          </w:p>
          <w:p>
            <w:pPr>
              <w:keepNext w:val="0"/>
              <w:keepLines w:val="0"/>
              <w:pageBreakBefore w:val="0"/>
              <w:widowControl w:val="0"/>
              <w:kinsoku/>
              <w:wordWrap/>
              <w:overflowPunct/>
              <w:topLinePunct w:val="0"/>
              <w:autoSpaceDE/>
              <w:autoSpaceDN/>
              <w:bidi w:val="0"/>
              <w:adjustRightInd/>
              <w:snapToGrid w:val="0"/>
              <w:spacing w:line="300" w:lineRule="auto"/>
              <w:textAlignment w:val="auto"/>
              <w:rPr>
                <w:sz w:val="24"/>
                <w:szCs w:val="24"/>
              </w:rPr>
            </w:pPr>
            <w:r>
              <w:rPr>
                <w:rFonts w:hint="eastAsia"/>
                <w:sz w:val="24"/>
                <w:szCs w:val="24"/>
              </w:rPr>
              <w:t>（7）为保护超高真空密封组件表面，每个超高真空密封组件都应该封在塑料袋内，每10个超高真空密封组件包装在硬质盒内；</w:t>
            </w:r>
          </w:p>
          <w:p>
            <w:pPr>
              <w:keepNext w:val="0"/>
              <w:keepLines w:val="0"/>
              <w:pageBreakBefore w:val="0"/>
              <w:widowControl w:val="0"/>
              <w:kinsoku/>
              <w:wordWrap/>
              <w:overflowPunct/>
              <w:topLinePunct w:val="0"/>
              <w:autoSpaceDE/>
              <w:autoSpaceDN/>
              <w:bidi w:val="0"/>
              <w:adjustRightInd/>
              <w:snapToGrid w:val="0"/>
              <w:spacing w:line="300" w:lineRule="auto"/>
              <w:textAlignment w:val="auto"/>
              <w:rPr>
                <w:rFonts w:hint="eastAsia" w:ascii="宋体" w:hAnsi="宋体"/>
                <w:szCs w:val="21"/>
              </w:rPr>
            </w:pPr>
            <w:r>
              <w:rPr>
                <w:rFonts w:hint="eastAsia"/>
                <w:sz w:val="24"/>
                <w:szCs w:val="24"/>
              </w:rPr>
              <w:t>（8）标注超高真空密封组件批次号、硬度、材质、清洁等级。</w:t>
            </w:r>
            <w:bookmarkEnd w:id="0"/>
            <w:bookmarkEnd w:id="1"/>
            <w:bookmarkEnd w:id="2"/>
          </w:p>
          <w:p>
            <w:pPr>
              <w:numPr>
                <w:ilvl w:val="255"/>
                <w:numId w:val="0"/>
              </w:numPr>
              <w:spacing w:line="300" w:lineRule="auto"/>
              <w:jc w:val="center"/>
              <w:rPr>
                <w:rFonts w:hint="eastAsia" w:ascii="宋体" w:hAnsi="宋体"/>
                <w:szCs w:val="21"/>
              </w:rPr>
            </w:pPr>
            <w:r>
              <w:rPr>
                <w:rFonts w:hint="eastAsia" w:ascii="宋体" w:hAnsi="宋体"/>
                <w:szCs w:val="21"/>
              </w:rPr>
              <w:t>表1 普通超高真空密封组件（HB40-80</w:t>
            </w:r>
            <w:r>
              <w:rPr>
                <w:rFonts w:ascii="宋体" w:hAnsi="宋体"/>
                <w:szCs w:val="21"/>
              </w:rPr>
              <w:t>）</w:t>
            </w:r>
          </w:p>
          <w:tbl>
            <w:tblPr>
              <w:tblStyle w:val="4"/>
              <w:tblW w:w="4999" w:type="pct"/>
              <w:tblInd w:w="0" w:type="dxa"/>
              <w:tblLayout w:type="autofit"/>
              <w:tblCellMar>
                <w:top w:w="0" w:type="dxa"/>
                <w:left w:w="108" w:type="dxa"/>
                <w:bottom w:w="0" w:type="dxa"/>
                <w:right w:w="108" w:type="dxa"/>
              </w:tblCellMar>
            </w:tblPr>
            <w:tblGrid>
              <w:gridCol w:w="426"/>
              <w:gridCol w:w="1896"/>
              <w:gridCol w:w="689"/>
              <w:gridCol w:w="689"/>
              <w:gridCol w:w="636"/>
              <w:gridCol w:w="636"/>
              <w:gridCol w:w="430"/>
            </w:tblGrid>
            <w:tr>
              <w:trPr>
                <w:trHeight w:val="402" w:hRule="atLeast"/>
              </w:trPr>
              <w:tc>
                <w:tcPr>
                  <w:tcW w:w="489"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序号</w:t>
                  </w:r>
                </w:p>
              </w:tc>
              <w:tc>
                <w:tcPr>
                  <w:tcW w:w="1066"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产品名称</w:t>
                  </w:r>
                </w:p>
              </w:tc>
              <w:tc>
                <w:tcPr>
                  <w:tcW w:w="2027" w:type="pct"/>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规格</w:t>
                  </w:r>
                </w:p>
              </w:tc>
              <w:tc>
                <w:tcPr>
                  <w:tcW w:w="827" w:type="pct"/>
                  <w:vMerge w:val="restart"/>
                  <w:tcBorders>
                    <w:top w:val="single" w:color="auto" w:sz="4" w:space="0"/>
                    <w:left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数量</w:t>
                  </w:r>
                </w:p>
              </w:tc>
              <w:tc>
                <w:tcPr>
                  <w:tcW w:w="588" w:type="pct"/>
                  <w:vMerge w:val="restart"/>
                  <w:tcBorders>
                    <w:top w:val="single" w:color="auto" w:sz="4" w:space="0"/>
                    <w:left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单位</w:t>
                  </w:r>
                </w:p>
              </w:tc>
            </w:tr>
            <w:tr>
              <w:trPr>
                <w:trHeight w:val="402" w:hRule="atLeast"/>
              </w:trPr>
              <w:tc>
                <w:tcPr>
                  <w:tcW w:w="48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szCs w:val="21"/>
                    </w:rPr>
                  </w:pPr>
                </w:p>
              </w:tc>
              <w:tc>
                <w:tcPr>
                  <w:tcW w:w="1066"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szCs w:val="21"/>
                    </w:rPr>
                  </w:pPr>
                </w:p>
              </w:tc>
              <w:tc>
                <w:tcPr>
                  <w:tcW w:w="73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外圆</w:t>
                  </w:r>
                </w:p>
              </w:tc>
              <w:tc>
                <w:tcPr>
                  <w:tcW w:w="70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内孔</w:t>
                  </w:r>
                </w:p>
              </w:tc>
              <w:tc>
                <w:tcPr>
                  <w:tcW w:w="58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厚度</w:t>
                  </w:r>
                </w:p>
              </w:tc>
              <w:tc>
                <w:tcPr>
                  <w:tcW w:w="827" w:type="pct"/>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szCs w:val="21"/>
                    </w:rPr>
                  </w:pPr>
                </w:p>
              </w:tc>
              <w:tc>
                <w:tcPr>
                  <w:tcW w:w="588" w:type="pct"/>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szCs w:val="21"/>
                    </w:rPr>
                  </w:pPr>
                </w:p>
              </w:tc>
            </w:tr>
            <w:tr>
              <w:trPr>
                <w:trHeight w:val="283"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w:t>
                  </w:r>
                </w:p>
              </w:tc>
              <w:tc>
                <w:tcPr>
                  <w:tcW w:w="106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CF16</w:t>
                  </w:r>
                </w:p>
              </w:tc>
              <w:tc>
                <w:tcPr>
                  <w:tcW w:w="73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21.3</w:t>
                  </w:r>
                </w:p>
              </w:tc>
              <w:tc>
                <w:tcPr>
                  <w:tcW w:w="70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16.2</w:t>
                  </w:r>
                </w:p>
              </w:tc>
              <w:tc>
                <w:tcPr>
                  <w:tcW w:w="58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827" w:type="pct"/>
                  <w:tcBorders>
                    <w:top w:val="nil"/>
                    <w:left w:val="single" w:color="auto" w:sz="4" w:space="0"/>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90</w:t>
                  </w:r>
                </w:p>
              </w:tc>
              <w:tc>
                <w:tcPr>
                  <w:tcW w:w="58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3"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w:t>
                  </w:r>
                </w:p>
              </w:tc>
              <w:tc>
                <w:tcPr>
                  <w:tcW w:w="106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CF25</w:t>
                  </w:r>
                </w:p>
              </w:tc>
              <w:tc>
                <w:tcPr>
                  <w:tcW w:w="73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35.0</w:t>
                  </w:r>
                </w:p>
              </w:tc>
              <w:tc>
                <w:tcPr>
                  <w:tcW w:w="70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25.6</w:t>
                  </w:r>
                </w:p>
              </w:tc>
              <w:tc>
                <w:tcPr>
                  <w:tcW w:w="58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827" w:type="pct"/>
                  <w:tcBorders>
                    <w:top w:val="nil"/>
                    <w:left w:val="single" w:color="auto" w:sz="4" w:space="0"/>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200</w:t>
                  </w:r>
                </w:p>
              </w:tc>
              <w:tc>
                <w:tcPr>
                  <w:tcW w:w="58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3"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3</w:t>
                  </w:r>
                </w:p>
              </w:tc>
              <w:tc>
                <w:tcPr>
                  <w:tcW w:w="106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CF35</w:t>
                  </w:r>
                </w:p>
              </w:tc>
              <w:tc>
                <w:tcPr>
                  <w:tcW w:w="73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48.15</w:t>
                  </w:r>
                </w:p>
              </w:tc>
              <w:tc>
                <w:tcPr>
                  <w:tcW w:w="70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36.8</w:t>
                  </w:r>
                </w:p>
              </w:tc>
              <w:tc>
                <w:tcPr>
                  <w:tcW w:w="58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827" w:type="pct"/>
                  <w:tcBorders>
                    <w:top w:val="nil"/>
                    <w:left w:val="single" w:color="auto" w:sz="4" w:space="0"/>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6500</w:t>
                  </w:r>
                </w:p>
              </w:tc>
              <w:tc>
                <w:tcPr>
                  <w:tcW w:w="58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3"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4</w:t>
                  </w:r>
                </w:p>
              </w:tc>
              <w:tc>
                <w:tcPr>
                  <w:tcW w:w="106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CF63</w:t>
                  </w:r>
                </w:p>
              </w:tc>
              <w:tc>
                <w:tcPr>
                  <w:tcW w:w="73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82.4</w:t>
                  </w:r>
                </w:p>
              </w:tc>
              <w:tc>
                <w:tcPr>
                  <w:tcW w:w="70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63.6</w:t>
                  </w:r>
                </w:p>
              </w:tc>
              <w:tc>
                <w:tcPr>
                  <w:tcW w:w="58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827" w:type="pct"/>
                  <w:tcBorders>
                    <w:top w:val="nil"/>
                    <w:left w:val="single" w:color="auto" w:sz="4" w:space="0"/>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2500</w:t>
                  </w:r>
                </w:p>
              </w:tc>
              <w:tc>
                <w:tcPr>
                  <w:tcW w:w="58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3"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5</w:t>
                  </w:r>
                </w:p>
              </w:tc>
              <w:tc>
                <w:tcPr>
                  <w:tcW w:w="106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CF100</w:t>
                  </w:r>
                </w:p>
              </w:tc>
              <w:tc>
                <w:tcPr>
                  <w:tcW w:w="73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120.5</w:t>
                  </w:r>
                </w:p>
              </w:tc>
              <w:tc>
                <w:tcPr>
                  <w:tcW w:w="70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101.7</w:t>
                  </w:r>
                </w:p>
              </w:tc>
              <w:tc>
                <w:tcPr>
                  <w:tcW w:w="58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827" w:type="pct"/>
                  <w:tcBorders>
                    <w:top w:val="nil"/>
                    <w:left w:val="single" w:color="auto" w:sz="4" w:space="0"/>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1700</w:t>
                  </w:r>
                </w:p>
              </w:tc>
              <w:tc>
                <w:tcPr>
                  <w:tcW w:w="58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3"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6</w:t>
                  </w:r>
                </w:p>
              </w:tc>
              <w:tc>
                <w:tcPr>
                  <w:tcW w:w="106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CF125</w:t>
                  </w:r>
                </w:p>
              </w:tc>
              <w:tc>
                <w:tcPr>
                  <w:tcW w:w="736"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141.6</w:t>
                  </w:r>
                </w:p>
              </w:tc>
              <w:tc>
                <w:tcPr>
                  <w:tcW w:w="70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127.2</w:t>
                  </w:r>
                </w:p>
              </w:tc>
              <w:tc>
                <w:tcPr>
                  <w:tcW w:w="58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827" w:type="pct"/>
                  <w:tcBorders>
                    <w:top w:val="nil"/>
                    <w:left w:val="single" w:color="auto" w:sz="4" w:space="0"/>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150</w:t>
                  </w:r>
                </w:p>
              </w:tc>
              <w:tc>
                <w:tcPr>
                  <w:tcW w:w="588"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bl>
          <w:p>
            <w:pPr>
              <w:numPr>
                <w:ilvl w:val="255"/>
                <w:numId w:val="0"/>
              </w:numPr>
              <w:spacing w:line="300" w:lineRule="auto"/>
              <w:jc w:val="both"/>
              <w:rPr>
                <w:rFonts w:hint="eastAsia" w:ascii="宋体" w:hAnsi="宋体"/>
                <w:szCs w:val="21"/>
              </w:rPr>
            </w:pPr>
          </w:p>
          <w:p>
            <w:pPr>
              <w:numPr>
                <w:ilvl w:val="255"/>
                <w:numId w:val="0"/>
              </w:numPr>
              <w:spacing w:line="300" w:lineRule="auto"/>
              <w:jc w:val="center"/>
              <w:rPr>
                <w:rFonts w:hint="eastAsia" w:ascii="宋体" w:hAnsi="宋体"/>
                <w:szCs w:val="21"/>
              </w:rPr>
            </w:pPr>
            <w:r>
              <w:rPr>
                <w:rFonts w:hint="eastAsia" w:ascii="宋体" w:hAnsi="宋体"/>
                <w:szCs w:val="21"/>
              </w:rPr>
              <w:t>表2 软态超高真空密封组件(安装光子吸收器HB50±10)</w:t>
            </w:r>
          </w:p>
          <w:tbl>
            <w:tblPr>
              <w:tblStyle w:val="4"/>
              <w:tblW w:w="4999" w:type="pct"/>
              <w:tblInd w:w="0" w:type="dxa"/>
              <w:tblLayout w:type="autofit"/>
              <w:tblCellMar>
                <w:top w:w="0" w:type="dxa"/>
                <w:left w:w="108" w:type="dxa"/>
                <w:bottom w:w="0" w:type="dxa"/>
                <w:right w:w="108" w:type="dxa"/>
              </w:tblCellMar>
            </w:tblPr>
            <w:tblGrid>
              <w:gridCol w:w="426"/>
              <w:gridCol w:w="1896"/>
              <w:gridCol w:w="689"/>
              <w:gridCol w:w="689"/>
              <w:gridCol w:w="636"/>
              <w:gridCol w:w="636"/>
              <w:gridCol w:w="430"/>
            </w:tblGrid>
            <w:tr>
              <w:trPr>
                <w:trHeight w:val="408" w:hRule="atLeast"/>
              </w:trPr>
              <w:tc>
                <w:tcPr>
                  <w:tcW w:w="489" w:type="pct"/>
                  <w:vMerge w:val="restart"/>
                  <w:tcBorders>
                    <w:top w:val="single" w:color="auto" w:sz="4" w:space="0"/>
                    <w:left w:val="single" w:color="auto" w:sz="4" w:space="0"/>
                    <w:bottom w:val="single" w:color="auto" w:sz="4" w:space="0"/>
                    <w:right w:val="single" w:color="auto" w:sz="4" w:space="0"/>
                  </w:tcBorders>
                  <w:vAlign w:val="center"/>
                </w:tcPr>
                <w:p>
                  <w:pPr>
                    <w:widowControl/>
                    <w:rPr>
                      <w:rFonts w:hint="eastAsia" w:ascii="宋体" w:hAnsi="宋体"/>
                      <w:szCs w:val="21"/>
                    </w:rPr>
                  </w:pPr>
                  <w:r>
                    <w:rPr>
                      <w:rFonts w:hint="eastAsia" w:ascii="宋体" w:hAnsi="宋体"/>
                      <w:szCs w:val="21"/>
                    </w:rPr>
                    <w:t>序号</w:t>
                  </w:r>
                </w:p>
              </w:tc>
              <w:tc>
                <w:tcPr>
                  <w:tcW w:w="1279"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产品名称</w:t>
                  </w:r>
                </w:p>
              </w:tc>
              <w:tc>
                <w:tcPr>
                  <w:tcW w:w="1967" w:type="pct"/>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规格</w:t>
                  </w:r>
                </w:p>
              </w:tc>
              <w:tc>
                <w:tcPr>
                  <w:tcW w:w="702" w:type="pct"/>
                  <w:vMerge w:val="restart"/>
                  <w:tcBorders>
                    <w:top w:val="single" w:color="auto" w:sz="4" w:space="0"/>
                    <w:left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数量</w:t>
                  </w:r>
                </w:p>
              </w:tc>
              <w:tc>
                <w:tcPr>
                  <w:tcW w:w="561" w:type="pct"/>
                  <w:vMerge w:val="restart"/>
                  <w:tcBorders>
                    <w:top w:val="single" w:color="auto" w:sz="4" w:space="0"/>
                    <w:left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单位</w:t>
                  </w:r>
                </w:p>
              </w:tc>
            </w:tr>
            <w:tr>
              <w:trPr>
                <w:trHeight w:val="408" w:hRule="atLeast"/>
              </w:trPr>
              <w:tc>
                <w:tcPr>
                  <w:tcW w:w="48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szCs w:val="21"/>
                    </w:rPr>
                  </w:pPr>
                </w:p>
              </w:tc>
              <w:tc>
                <w:tcPr>
                  <w:tcW w:w="127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szCs w:val="21"/>
                    </w:rPr>
                  </w:pP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外圆</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内孔</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厚度</w:t>
                  </w:r>
                </w:p>
              </w:tc>
              <w:tc>
                <w:tcPr>
                  <w:tcW w:w="702" w:type="pct"/>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szCs w:val="21"/>
                    </w:rPr>
                  </w:pPr>
                </w:p>
              </w:tc>
              <w:tc>
                <w:tcPr>
                  <w:tcW w:w="561" w:type="pct"/>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szCs w:val="21"/>
                    </w:rPr>
                  </w:pPr>
                </w:p>
              </w:tc>
            </w:tr>
            <w:tr>
              <w:trPr>
                <w:trHeight w:val="288"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CF16</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21.3</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16.2</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ascii="宋体" w:hAnsi="宋体"/>
                      <w:szCs w:val="21"/>
                    </w:rPr>
                    <w:t>1</w:t>
                  </w:r>
                  <w:r>
                    <w:rPr>
                      <w:rFonts w:hint="eastAsia" w:ascii="宋体" w:hAnsi="宋体"/>
                      <w:szCs w:val="21"/>
                    </w:rPr>
                    <w:t>000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8" w:hRule="atLeast"/>
              </w:trPr>
              <w:tc>
                <w:tcPr>
                  <w:tcW w:w="4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CF25</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32.9</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25.6</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ascii="宋体" w:hAnsi="宋体"/>
                      <w:szCs w:val="21"/>
                    </w:rPr>
                    <w:t>100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8"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3</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CF35</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48.15</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36.8</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9000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8"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4</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CF63</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82.4</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63.6</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ascii="宋体" w:hAnsi="宋体"/>
                      <w:szCs w:val="21"/>
                    </w:rPr>
                    <w:t>2</w:t>
                  </w:r>
                  <w:r>
                    <w:rPr>
                      <w:rFonts w:hint="eastAsia" w:ascii="宋体" w:hAnsi="宋体"/>
                      <w:szCs w:val="21"/>
                    </w:rPr>
                    <w:t>000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8"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5</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CF100</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120.5</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101.7</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ascii="宋体" w:hAnsi="宋体"/>
                      <w:szCs w:val="21"/>
                    </w:rPr>
                    <w:t>200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8"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6</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CF125</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141.6</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127.0</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ascii="宋体" w:hAnsi="宋体"/>
                      <w:szCs w:val="21"/>
                    </w:rPr>
                    <w:t>100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8"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7</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CF150</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171.3</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152.5</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ascii="宋体" w:hAnsi="宋体"/>
                      <w:szCs w:val="21"/>
                    </w:rPr>
                    <w:t>100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bl>
          <w:p>
            <w:pPr>
              <w:widowControl/>
              <w:snapToGrid w:val="0"/>
              <w:spacing w:line="360" w:lineRule="auto"/>
              <w:jc w:val="left"/>
              <w:rPr>
                <w:rFonts w:hint="eastAsia" w:asciiTheme="minorEastAsia" w:hAnsiTheme="minorEastAsia" w:eastAsiaTheme="minorEastAsia" w:cstheme="minorEastAsia"/>
                <w:snapToGrid w:val="0"/>
                <w:szCs w:val="21"/>
              </w:rPr>
            </w:pPr>
          </w:p>
          <w:p>
            <w:pPr>
              <w:numPr>
                <w:ilvl w:val="255"/>
                <w:numId w:val="0"/>
              </w:numPr>
              <w:spacing w:line="300" w:lineRule="auto"/>
              <w:jc w:val="center"/>
              <w:rPr>
                <w:rFonts w:hint="eastAsia" w:ascii="宋体" w:hAnsi="宋体"/>
                <w:szCs w:val="21"/>
              </w:rPr>
            </w:pPr>
            <w:r>
              <w:rPr>
                <w:rFonts w:hint="eastAsia" w:ascii="宋体" w:hAnsi="宋体"/>
                <w:szCs w:val="21"/>
              </w:rPr>
              <w:t>表3 批量镀膜超高真空密封组件（HB40-80）</w:t>
            </w:r>
          </w:p>
          <w:tbl>
            <w:tblPr>
              <w:tblStyle w:val="4"/>
              <w:tblW w:w="4999" w:type="pct"/>
              <w:tblInd w:w="0" w:type="dxa"/>
              <w:tblLayout w:type="autofit"/>
              <w:tblCellMar>
                <w:top w:w="0" w:type="dxa"/>
                <w:left w:w="108" w:type="dxa"/>
                <w:bottom w:w="0" w:type="dxa"/>
                <w:right w:w="108" w:type="dxa"/>
              </w:tblCellMar>
            </w:tblPr>
            <w:tblGrid>
              <w:gridCol w:w="426"/>
              <w:gridCol w:w="1896"/>
              <w:gridCol w:w="689"/>
              <w:gridCol w:w="689"/>
              <w:gridCol w:w="636"/>
              <w:gridCol w:w="636"/>
              <w:gridCol w:w="430"/>
            </w:tblGrid>
            <w:tr>
              <w:trPr>
                <w:trHeight w:val="408" w:hRule="atLeast"/>
              </w:trPr>
              <w:tc>
                <w:tcPr>
                  <w:tcW w:w="489" w:type="pct"/>
                  <w:vMerge w:val="restart"/>
                  <w:tcBorders>
                    <w:top w:val="single" w:color="auto" w:sz="4" w:space="0"/>
                    <w:left w:val="single" w:color="auto" w:sz="4" w:space="0"/>
                    <w:bottom w:val="single" w:color="auto" w:sz="4" w:space="0"/>
                    <w:right w:val="single" w:color="auto" w:sz="4" w:space="0"/>
                  </w:tcBorders>
                  <w:vAlign w:val="center"/>
                </w:tcPr>
                <w:p>
                  <w:pPr>
                    <w:widowControl/>
                    <w:rPr>
                      <w:rFonts w:hint="eastAsia" w:ascii="宋体" w:hAnsi="宋体"/>
                      <w:szCs w:val="21"/>
                    </w:rPr>
                  </w:pPr>
                  <w:r>
                    <w:rPr>
                      <w:rFonts w:hint="eastAsia" w:ascii="宋体" w:hAnsi="宋体"/>
                      <w:szCs w:val="21"/>
                    </w:rPr>
                    <w:t>序号</w:t>
                  </w:r>
                </w:p>
              </w:tc>
              <w:tc>
                <w:tcPr>
                  <w:tcW w:w="1279"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产品名称</w:t>
                  </w:r>
                </w:p>
              </w:tc>
              <w:tc>
                <w:tcPr>
                  <w:tcW w:w="1967" w:type="pct"/>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规格</w:t>
                  </w:r>
                </w:p>
              </w:tc>
              <w:tc>
                <w:tcPr>
                  <w:tcW w:w="702" w:type="pct"/>
                  <w:vMerge w:val="restart"/>
                  <w:tcBorders>
                    <w:top w:val="single" w:color="auto" w:sz="4" w:space="0"/>
                    <w:left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数量</w:t>
                  </w:r>
                </w:p>
              </w:tc>
              <w:tc>
                <w:tcPr>
                  <w:tcW w:w="561" w:type="pct"/>
                  <w:vMerge w:val="restart"/>
                  <w:tcBorders>
                    <w:top w:val="single" w:color="auto" w:sz="4" w:space="0"/>
                    <w:left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单位</w:t>
                  </w:r>
                </w:p>
              </w:tc>
            </w:tr>
            <w:tr>
              <w:trPr>
                <w:trHeight w:val="408" w:hRule="atLeast"/>
              </w:trPr>
              <w:tc>
                <w:tcPr>
                  <w:tcW w:w="48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szCs w:val="21"/>
                    </w:rPr>
                  </w:pPr>
                </w:p>
              </w:tc>
              <w:tc>
                <w:tcPr>
                  <w:tcW w:w="127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szCs w:val="21"/>
                    </w:rPr>
                  </w:pP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外圆</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内孔</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厚度</w:t>
                  </w:r>
                </w:p>
              </w:tc>
              <w:tc>
                <w:tcPr>
                  <w:tcW w:w="702" w:type="pct"/>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szCs w:val="21"/>
                    </w:rPr>
                  </w:pPr>
                </w:p>
              </w:tc>
              <w:tc>
                <w:tcPr>
                  <w:tcW w:w="561" w:type="pct"/>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szCs w:val="21"/>
                    </w:rPr>
                  </w:pPr>
                </w:p>
              </w:tc>
            </w:tr>
            <w:tr>
              <w:trPr>
                <w:trHeight w:val="288"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CF16</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21.3</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16.2</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ascii="宋体" w:hAnsi="宋体"/>
                      <w:szCs w:val="21"/>
                    </w:rPr>
                    <w:t>1</w:t>
                  </w:r>
                  <w:r>
                    <w:rPr>
                      <w:rFonts w:hint="eastAsia" w:ascii="宋体" w:hAnsi="宋体"/>
                      <w:szCs w:val="21"/>
                    </w:rPr>
                    <w:t>000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8" w:hRule="atLeast"/>
              </w:trPr>
              <w:tc>
                <w:tcPr>
                  <w:tcW w:w="4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CF25</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32.9</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25.6</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ascii="宋体" w:hAnsi="宋体"/>
                      <w:szCs w:val="21"/>
                    </w:rPr>
                    <w:t>100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8"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3</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CF35</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48.15</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36.8</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hint="eastAsia" w:ascii="宋体" w:hAnsi="宋体"/>
                      <w:szCs w:val="21"/>
                    </w:rPr>
                    <w:t>9000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8"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4</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CF63</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82.4</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63.6</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ascii="宋体" w:hAnsi="宋体"/>
                      <w:szCs w:val="21"/>
                    </w:rPr>
                    <w:t>2</w:t>
                  </w:r>
                  <w:r>
                    <w:rPr>
                      <w:rFonts w:hint="eastAsia" w:ascii="宋体" w:hAnsi="宋体"/>
                      <w:szCs w:val="21"/>
                    </w:rPr>
                    <w:t>000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8"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5</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CF100</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120.5</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101.7</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ascii="宋体" w:hAnsi="宋体"/>
                      <w:szCs w:val="21"/>
                    </w:rPr>
                    <w:t>200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8"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6</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CF125</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141.6</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127.0</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ascii="宋体" w:hAnsi="宋体"/>
                      <w:szCs w:val="21"/>
                    </w:rPr>
                    <w:t>100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r>
              <w:trPr>
                <w:trHeight w:val="288" w:hRule="atLeast"/>
              </w:trPr>
              <w:tc>
                <w:tcPr>
                  <w:tcW w:w="489"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7</w:t>
                  </w:r>
                </w:p>
              </w:tc>
              <w:tc>
                <w:tcPr>
                  <w:tcW w:w="1279"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超高真空密封组件</w:t>
                  </w:r>
                </w:p>
                <w:p>
                  <w:pPr>
                    <w:widowControl/>
                    <w:jc w:val="center"/>
                    <w:rPr>
                      <w:rFonts w:hint="eastAsia" w:ascii="宋体" w:hAnsi="宋体"/>
                      <w:szCs w:val="21"/>
                    </w:rPr>
                  </w:pPr>
                  <w:r>
                    <w:rPr>
                      <w:rFonts w:hint="eastAsia" w:ascii="宋体" w:hAnsi="宋体"/>
                      <w:szCs w:val="21"/>
                    </w:rPr>
                    <w:t>CF150</w:t>
                  </w:r>
                </w:p>
              </w:tc>
              <w:tc>
                <w:tcPr>
                  <w:tcW w:w="63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171.3</w:t>
                  </w:r>
                </w:p>
              </w:tc>
              <w:tc>
                <w:tcPr>
                  <w:tcW w:w="77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152.5</w:t>
                  </w:r>
                </w:p>
              </w:tc>
              <w:tc>
                <w:tcPr>
                  <w:tcW w:w="562"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2.2</w:t>
                  </w:r>
                </w:p>
              </w:tc>
              <w:tc>
                <w:tcPr>
                  <w:tcW w:w="702" w:type="pct"/>
                  <w:tcBorders>
                    <w:top w:val="nil"/>
                    <w:left w:val="nil"/>
                    <w:bottom w:val="single" w:color="auto" w:sz="4" w:space="0"/>
                    <w:right w:val="single" w:color="auto" w:sz="4" w:space="0"/>
                  </w:tcBorders>
                  <w:vAlign w:val="center"/>
                </w:tcPr>
                <w:p>
                  <w:pPr>
                    <w:widowControl/>
                    <w:jc w:val="center"/>
                    <w:rPr>
                      <w:rFonts w:hint="eastAsia" w:ascii="宋体" w:hAnsi="宋体"/>
                      <w:szCs w:val="21"/>
                    </w:rPr>
                  </w:pPr>
                  <w:r>
                    <w:rPr>
                      <w:rFonts w:ascii="宋体" w:hAnsi="宋体"/>
                      <w:szCs w:val="21"/>
                    </w:rPr>
                    <w:t>100</w:t>
                  </w:r>
                </w:p>
              </w:tc>
              <w:tc>
                <w:tcPr>
                  <w:tcW w:w="561" w:type="pct"/>
                  <w:tcBorders>
                    <w:top w:val="nil"/>
                    <w:left w:val="nil"/>
                    <w:bottom w:val="single" w:color="auto" w:sz="4" w:space="0"/>
                    <w:right w:val="single" w:color="auto" w:sz="4" w:space="0"/>
                  </w:tcBorders>
                  <w:noWrap/>
                  <w:vAlign w:val="center"/>
                </w:tcPr>
                <w:p>
                  <w:pPr>
                    <w:widowControl/>
                    <w:jc w:val="center"/>
                    <w:rPr>
                      <w:rFonts w:hint="eastAsia" w:ascii="宋体" w:hAnsi="宋体"/>
                      <w:szCs w:val="21"/>
                    </w:rPr>
                  </w:pPr>
                  <w:r>
                    <w:rPr>
                      <w:rFonts w:hint="eastAsia" w:ascii="宋体" w:hAnsi="宋体"/>
                      <w:szCs w:val="21"/>
                    </w:rPr>
                    <w:t>个</w:t>
                  </w:r>
                </w:p>
              </w:tc>
            </w:tr>
          </w:tbl>
          <w:p>
            <w:pPr>
              <w:tabs>
                <w:tab w:val="left" w:pos="6915"/>
              </w:tabs>
              <w:jc w:val="left"/>
              <w:rPr>
                <w:rFonts w:hint="eastAsia" w:ascii="宋体" w:hAnsi="宋体" w:cs="宋体"/>
                <w:bCs/>
                <w:sz w:val="24"/>
              </w:rPr>
            </w:pPr>
          </w:p>
        </w:tc>
        <w:tc>
          <w:tcPr>
            <w:tcW w:w="1595" w:type="dxa"/>
            <w:vAlign w:val="center"/>
          </w:tcPr>
          <w:p>
            <w:pPr>
              <w:jc w:val="center"/>
            </w:pPr>
          </w:p>
        </w:tc>
        <w:tc>
          <w:tcPr>
            <w:tcW w:w="875" w:type="dxa"/>
            <w:vAlign w:val="center"/>
          </w:tcPr>
          <w:p>
            <w:pPr>
              <w:jc w:val="center"/>
            </w:pPr>
          </w:p>
        </w:tc>
      </w:tr>
      <w:tr>
        <w:trPr>
          <w:trHeight w:val="2908" w:hRule="atLeast"/>
        </w:trPr>
        <w:tc>
          <w:tcPr>
            <w:tcW w:w="671" w:type="dxa"/>
            <w:vAlign w:val="center"/>
          </w:tcPr>
          <w:p>
            <w:pPr>
              <w:spacing w:line="400" w:lineRule="exact"/>
              <w:jc w:val="center"/>
            </w:pPr>
            <w:r>
              <w:rPr>
                <w:rFonts w:hint="eastAsia"/>
              </w:rPr>
              <w:t>2</w:t>
            </w:r>
          </w:p>
        </w:tc>
        <w:tc>
          <w:tcPr>
            <w:tcW w:w="1021" w:type="dxa"/>
            <w:tcBorders>
              <w:top w:val="single" w:color="auto" w:sz="4" w:space="0"/>
              <w:left w:val="single" w:color="auto" w:sz="4" w:space="0"/>
              <w:bottom w:val="single" w:color="auto" w:sz="4" w:space="0"/>
              <w:right w:val="single" w:color="auto" w:sz="4" w:space="0"/>
            </w:tcBorders>
            <w:vAlign w:val="center"/>
          </w:tcPr>
          <w:p>
            <w:pPr>
              <w:widowControl/>
              <w:jc w:val="left"/>
              <w:rPr>
                <w:kern w:val="0"/>
                <w:sz w:val="24"/>
                <w:szCs w:val="21"/>
              </w:rPr>
            </w:pPr>
            <w:r>
              <w:rPr>
                <w:kern w:val="0"/>
                <w:sz w:val="24"/>
                <w:szCs w:val="21"/>
              </w:rPr>
              <w:t>商务条款</w:t>
            </w:r>
          </w:p>
        </w:tc>
        <w:tc>
          <w:tcPr>
            <w:tcW w:w="561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both"/>
              <w:textAlignment w:val="auto"/>
              <w:rPr>
                <w:rFonts w:hint="eastAsia" w:ascii="宋体" w:hAnsi="宋体"/>
                <w:b/>
                <w:sz w:val="24"/>
              </w:rPr>
            </w:pPr>
            <w:r>
              <w:rPr>
                <w:rFonts w:ascii="宋体" w:hAnsi="宋体"/>
                <w:b/>
                <w:sz w:val="24"/>
              </w:rPr>
              <w:t>交货期</w:t>
            </w:r>
            <w:r>
              <w:rPr>
                <w:rFonts w:hint="eastAsia" w:ascii="宋体" w:hAnsi="宋体"/>
                <w:b/>
                <w:sz w:val="24"/>
              </w:rPr>
              <w:t>：</w:t>
            </w:r>
          </w:p>
          <w:p>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both"/>
              <w:textAlignment w:val="auto"/>
              <w:rPr>
                <w:rFonts w:hint="eastAsia" w:ascii="宋体" w:hAnsi="宋体"/>
                <w:sz w:val="24"/>
              </w:rPr>
            </w:pPr>
            <w:r>
              <w:rPr>
                <w:rFonts w:hint="eastAsia" w:ascii="宋体" w:hAnsi="宋体"/>
                <w:sz w:val="24"/>
              </w:rPr>
              <w:t>交付时间：</w:t>
            </w:r>
          </w:p>
          <w:p>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both"/>
              <w:textAlignment w:val="auto"/>
              <w:rPr>
                <w:rFonts w:hint="eastAsia" w:ascii="宋体" w:hAnsi="宋体"/>
                <w:sz w:val="24"/>
              </w:rPr>
            </w:pPr>
            <w:r>
              <w:rPr>
                <w:rFonts w:hint="eastAsia" w:ascii="宋体" w:hAnsi="宋体"/>
                <w:sz w:val="24"/>
              </w:rPr>
              <w:t>（1）自合同签订之日起1个月内，完成首批货物（各类型超高真空密封组件的30%）的交付通过测试；</w:t>
            </w:r>
          </w:p>
          <w:p>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both"/>
              <w:textAlignment w:val="auto"/>
              <w:rPr>
                <w:rFonts w:hint="eastAsia" w:ascii="宋体" w:hAnsi="宋体"/>
                <w:sz w:val="24"/>
              </w:rPr>
            </w:pPr>
            <w:r>
              <w:rPr>
                <w:rFonts w:hint="eastAsia" w:ascii="宋体" w:hAnsi="宋体"/>
                <w:sz w:val="24"/>
              </w:rPr>
              <w:t>（3）自合同签订之日起2个月内，完成所有货物的交付并通过验收。</w:t>
            </w:r>
          </w:p>
          <w:p>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both"/>
              <w:textAlignment w:val="auto"/>
              <w:rPr>
                <w:rFonts w:hint="eastAsia" w:ascii="宋体" w:hAnsi="宋体"/>
                <w:sz w:val="24"/>
              </w:rPr>
            </w:pPr>
            <w:r>
              <w:rPr>
                <w:rFonts w:hint="eastAsia" w:ascii="宋体" w:hAnsi="宋体"/>
                <w:sz w:val="24"/>
              </w:rPr>
              <w:t>交付地点：安徽省合肥市中国科学技术大学合肥先进光源园区。</w:t>
            </w:r>
          </w:p>
          <w:p>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both"/>
              <w:textAlignment w:val="auto"/>
              <w:rPr>
                <w:rFonts w:hint="eastAsia" w:ascii="宋体" w:hAnsi="宋体"/>
                <w:sz w:val="24"/>
              </w:rPr>
            </w:pPr>
            <w:r>
              <w:rPr>
                <w:rFonts w:hint="eastAsia" w:ascii="宋体" w:hAnsi="宋体"/>
                <w:sz w:val="24"/>
              </w:rPr>
              <w:t>交付方式：中标人承担所有设备的运输、配合招标人完成安装验收，并承担相应费用。</w:t>
            </w:r>
          </w:p>
          <w:p>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both"/>
              <w:textAlignment w:val="auto"/>
              <w:rPr>
                <w:rFonts w:ascii="宋体" w:hAnsi="宋体"/>
                <w:b/>
                <w:sz w:val="24"/>
              </w:rPr>
            </w:pPr>
          </w:p>
          <w:p>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both"/>
              <w:textAlignment w:val="auto"/>
              <w:rPr>
                <w:rFonts w:hint="eastAsia" w:ascii="宋体" w:hAnsi="宋体"/>
                <w:b/>
                <w:sz w:val="24"/>
              </w:rPr>
            </w:pPr>
            <w:r>
              <w:rPr>
                <w:rFonts w:ascii="宋体" w:hAnsi="宋体"/>
                <w:b/>
                <w:sz w:val="24"/>
              </w:rPr>
              <w:t>付款方式</w:t>
            </w:r>
            <w:r>
              <w:rPr>
                <w:rFonts w:hint="eastAsia" w:ascii="宋体" w:hAnsi="宋体"/>
                <w:b/>
                <w:sz w:val="24"/>
              </w:rPr>
              <w:t>：</w:t>
            </w:r>
          </w:p>
          <w:p>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both"/>
              <w:textAlignment w:val="auto"/>
              <w:rPr>
                <w:rFonts w:hint="eastAsia" w:ascii="宋体" w:hAnsi="宋体"/>
                <w:sz w:val="24"/>
              </w:rPr>
            </w:pPr>
            <w:r>
              <w:rPr>
                <w:rFonts w:hint="eastAsia" w:ascii="宋体" w:hAnsi="宋体"/>
                <w:sz w:val="24"/>
              </w:rPr>
              <w:t>1、合同签订且首批货物（各类型超高真空密封组件的30%）交付并通过测试后，支付合同总价的40%；</w:t>
            </w:r>
          </w:p>
          <w:p>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both"/>
              <w:textAlignment w:val="auto"/>
              <w:rPr>
                <w:rFonts w:hint="eastAsia" w:ascii="宋体" w:hAnsi="宋体"/>
                <w:sz w:val="24"/>
              </w:rPr>
            </w:pPr>
            <w:r>
              <w:rPr>
                <w:rFonts w:hint="eastAsia" w:ascii="宋体" w:hAnsi="宋体"/>
                <w:sz w:val="24"/>
              </w:rPr>
              <w:t>2、货物全部交付并通过验收后，支付合同总价的60%。</w:t>
            </w:r>
          </w:p>
          <w:p>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both"/>
              <w:textAlignment w:val="auto"/>
              <w:rPr>
                <w:rFonts w:hint="eastAsia" w:ascii="宋体" w:hAnsi="宋体"/>
                <w:bCs/>
                <w:szCs w:val="21"/>
              </w:rPr>
            </w:pPr>
          </w:p>
          <w:p>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both"/>
              <w:textAlignment w:val="auto"/>
              <w:rPr>
                <w:rFonts w:hint="eastAsia" w:ascii="宋体" w:hAnsi="宋体"/>
                <w:b/>
                <w:sz w:val="24"/>
              </w:rPr>
            </w:pPr>
            <w:r>
              <w:rPr>
                <w:rFonts w:hint="eastAsia" w:ascii="宋体" w:hAnsi="宋体"/>
                <w:b/>
                <w:sz w:val="24"/>
              </w:rPr>
              <w:t>验收指标及验收要求：</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sz w:val="24"/>
                <w:szCs w:val="28"/>
              </w:rPr>
            </w:pPr>
            <w:r>
              <w:rPr>
                <w:rFonts w:hint="eastAsia"/>
                <w:sz w:val="24"/>
                <w:szCs w:val="28"/>
              </w:rPr>
              <w:t>加工完成后，由中标人提供超高真空密封组件的测试方案，方案中应包含技术要求所提到的性能指标，招标人审核通过测试方案后方可测试，并提供成品测试报告。测试结果若不能满足要求，中标人应当全权负责更换。出厂报告至少应包含以下内容：</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sz w:val="24"/>
                <w:szCs w:val="28"/>
              </w:rPr>
            </w:pPr>
            <w:r>
              <w:rPr>
                <w:rFonts w:hint="default"/>
                <w:sz w:val="24"/>
                <w:szCs w:val="28"/>
                <w:lang w:val="en-US"/>
              </w:rPr>
              <w:t>1</w:t>
            </w:r>
            <w:r>
              <w:rPr>
                <w:rFonts w:hint="eastAsia"/>
                <w:sz w:val="24"/>
                <w:szCs w:val="28"/>
                <w:lang w:val="en-US" w:eastAsia="zh-CN"/>
              </w:rPr>
              <w:t>、</w:t>
            </w:r>
            <w:r>
              <w:rPr>
                <w:rFonts w:hint="eastAsia"/>
                <w:sz w:val="24"/>
                <w:szCs w:val="28"/>
              </w:rPr>
              <w:t>材料质量证明：</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sz w:val="24"/>
                <w:szCs w:val="28"/>
              </w:rPr>
            </w:pPr>
            <w:r>
              <w:rPr>
                <w:rFonts w:hint="eastAsia"/>
                <w:sz w:val="24"/>
                <w:szCs w:val="28"/>
              </w:rPr>
              <w:t>中标人需提供每批次超高真空密封组件的材料质量证明；</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sz w:val="24"/>
                <w:szCs w:val="28"/>
              </w:rPr>
            </w:pPr>
            <w:r>
              <w:rPr>
                <w:rFonts w:hint="eastAsia"/>
                <w:sz w:val="24"/>
                <w:szCs w:val="28"/>
                <w:lang w:val="en-US" w:eastAsia="zh-CN"/>
              </w:rPr>
              <w:t>2、</w:t>
            </w:r>
            <w:r>
              <w:rPr>
                <w:rFonts w:hint="eastAsia"/>
                <w:sz w:val="24"/>
                <w:szCs w:val="28"/>
              </w:rPr>
              <w:t>表面状态：</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sz w:val="24"/>
                <w:szCs w:val="28"/>
              </w:rPr>
            </w:pPr>
            <w:r>
              <w:rPr>
                <w:rFonts w:hint="eastAsia"/>
                <w:sz w:val="24"/>
                <w:szCs w:val="28"/>
              </w:rPr>
              <w:t>超高真空密封组件密封圈刀口位置无划痕划伤、磕碰、缺口等缺陷，承制方需全检。密封圈需超声波清洗保证表面无油，万级（ISO7）以上洁净环境中酒精清洁后包装。整体表面粗糙度Ra不大于1.6μm，表面无氧化;</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sz w:val="24"/>
                <w:szCs w:val="28"/>
              </w:rPr>
            </w:pPr>
            <w:r>
              <w:rPr>
                <w:rFonts w:hint="eastAsia"/>
                <w:sz w:val="24"/>
                <w:szCs w:val="28"/>
                <w:lang w:val="en-US" w:eastAsia="zh-CN"/>
              </w:rPr>
              <w:t>3、</w:t>
            </w:r>
            <w:r>
              <w:rPr>
                <w:rFonts w:hint="eastAsia"/>
                <w:sz w:val="24"/>
                <w:szCs w:val="28"/>
              </w:rPr>
              <w:t>硬度测试报告：</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sz w:val="24"/>
                <w:szCs w:val="28"/>
              </w:rPr>
            </w:pPr>
            <w:r>
              <w:rPr>
                <w:rFonts w:hint="eastAsia"/>
                <w:sz w:val="24"/>
                <w:szCs w:val="28"/>
              </w:rPr>
              <w:t>表2超高真空密封组件成品的表面硬度值在50±10 HB范围。每加工批次每种规格按照密封圈相同工艺加工1% (不足两件时按两件计取）取样，以测试密封圈硬度；</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sz w:val="24"/>
                <w:szCs w:val="28"/>
              </w:rPr>
            </w:pPr>
            <w:r>
              <w:rPr>
                <w:rFonts w:hint="eastAsia"/>
                <w:sz w:val="24"/>
                <w:szCs w:val="28"/>
                <w:lang w:val="en-US" w:eastAsia="zh-CN"/>
              </w:rPr>
              <w:t>4、</w:t>
            </w:r>
            <w:r>
              <w:rPr>
                <w:rFonts w:hint="eastAsia"/>
                <w:sz w:val="24"/>
                <w:szCs w:val="28"/>
              </w:rPr>
              <w:t>磁导率报告：</w:t>
            </w:r>
          </w:p>
          <w:p>
            <w:pPr>
              <w:keepNext w:val="0"/>
              <w:keepLines w:val="0"/>
              <w:pageBreakBefore w:val="0"/>
              <w:widowControl w:val="0"/>
              <w:tabs>
                <w:tab w:val="left" w:pos="6915"/>
              </w:tabs>
              <w:kinsoku/>
              <w:wordWrap/>
              <w:overflowPunct/>
              <w:topLinePunct w:val="0"/>
              <w:autoSpaceDE/>
              <w:autoSpaceDN/>
              <w:bidi w:val="0"/>
              <w:adjustRightInd/>
              <w:snapToGrid w:val="0"/>
              <w:jc w:val="left"/>
              <w:textAlignment w:val="auto"/>
              <w:rPr>
                <w:kern w:val="0"/>
                <w:sz w:val="24"/>
                <w:szCs w:val="21"/>
              </w:rPr>
            </w:pPr>
            <w:r>
              <w:rPr>
                <w:rFonts w:hint="eastAsia"/>
                <w:sz w:val="24"/>
                <w:szCs w:val="28"/>
              </w:rPr>
              <w:t>所有超高真空密封组件的磁导率≤ 1.02，中标人提供测试报告；招标人在出厂前进行抽测，具体抽测比例由招标人确定。抽测合格方可出厂，抽测不合格，该批次由中标人负责更换直到产品合格为止；</w:t>
            </w:r>
          </w:p>
        </w:tc>
        <w:tc>
          <w:tcPr>
            <w:tcW w:w="1595" w:type="dxa"/>
            <w:vAlign w:val="center"/>
          </w:tcPr>
          <w:p>
            <w:pPr>
              <w:jc w:val="center"/>
            </w:pPr>
          </w:p>
        </w:tc>
        <w:tc>
          <w:tcPr>
            <w:tcW w:w="875" w:type="dxa"/>
            <w:vAlign w:val="center"/>
          </w:tcPr>
          <w:p>
            <w:pPr>
              <w:jc w:val="center"/>
            </w:pPr>
          </w:p>
        </w:tc>
      </w:tr>
    </w:tbl>
    <w:p>
      <w:pPr>
        <w:ind w:right="840"/>
        <w:jc w:val="right"/>
        <w:rPr>
          <w:sz w:val="24"/>
        </w:rPr>
      </w:pPr>
      <w:r>
        <w:rPr>
          <w:sz w:val="24"/>
        </w:rPr>
        <w:t>公司名称</w:t>
      </w:r>
      <w:r>
        <w:rPr>
          <w:rFonts w:hint="eastAsia"/>
          <w:sz w:val="24"/>
        </w:rPr>
        <w:t>（盖章）：</w:t>
      </w:r>
    </w:p>
    <w:p>
      <w:pPr>
        <w:ind w:right="840"/>
        <w:jc w:val="right"/>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MicrosoftYaHei">
    <w:altName w:val="苹方-简"/>
    <w:panose1 w:val="00000000000000000000"/>
    <w:charset w:val="86"/>
    <w:family w:val="roman"/>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5CB8"/>
    <w:rsid w:val="00020783"/>
    <w:rsid w:val="00050922"/>
    <w:rsid w:val="000B6D86"/>
    <w:rsid w:val="000C77C3"/>
    <w:rsid w:val="000F5310"/>
    <w:rsid w:val="000F7EB1"/>
    <w:rsid w:val="0010775C"/>
    <w:rsid w:val="001D3367"/>
    <w:rsid w:val="001D46D3"/>
    <w:rsid w:val="001E310D"/>
    <w:rsid w:val="00206F06"/>
    <w:rsid w:val="00261EE1"/>
    <w:rsid w:val="00274138"/>
    <w:rsid w:val="0027427F"/>
    <w:rsid w:val="002805AB"/>
    <w:rsid w:val="002C055F"/>
    <w:rsid w:val="002D1729"/>
    <w:rsid w:val="002E09DE"/>
    <w:rsid w:val="002E518A"/>
    <w:rsid w:val="002F62DB"/>
    <w:rsid w:val="003009AA"/>
    <w:rsid w:val="00392484"/>
    <w:rsid w:val="003C2330"/>
    <w:rsid w:val="003C7278"/>
    <w:rsid w:val="003D569D"/>
    <w:rsid w:val="0046324B"/>
    <w:rsid w:val="004B0D2F"/>
    <w:rsid w:val="00547A75"/>
    <w:rsid w:val="00573158"/>
    <w:rsid w:val="00594973"/>
    <w:rsid w:val="005A3000"/>
    <w:rsid w:val="005E59C6"/>
    <w:rsid w:val="005F7E7B"/>
    <w:rsid w:val="00642CDA"/>
    <w:rsid w:val="00670B3D"/>
    <w:rsid w:val="00705387"/>
    <w:rsid w:val="00720BC4"/>
    <w:rsid w:val="007230C5"/>
    <w:rsid w:val="00731AE1"/>
    <w:rsid w:val="00742B32"/>
    <w:rsid w:val="00744E8E"/>
    <w:rsid w:val="007B2AE3"/>
    <w:rsid w:val="007B5A47"/>
    <w:rsid w:val="00811B08"/>
    <w:rsid w:val="00844F86"/>
    <w:rsid w:val="00852719"/>
    <w:rsid w:val="008A717C"/>
    <w:rsid w:val="008D62B6"/>
    <w:rsid w:val="008F5C2B"/>
    <w:rsid w:val="009149BA"/>
    <w:rsid w:val="00961437"/>
    <w:rsid w:val="009B75F1"/>
    <w:rsid w:val="009C4C31"/>
    <w:rsid w:val="00A01094"/>
    <w:rsid w:val="00A27625"/>
    <w:rsid w:val="00AC67EF"/>
    <w:rsid w:val="00AE0A2B"/>
    <w:rsid w:val="00AF369B"/>
    <w:rsid w:val="00AF7A8B"/>
    <w:rsid w:val="00B3277E"/>
    <w:rsid w:val="00B37D6A"/>
    <w:rsid w:val="00B7785A"/>
    <w:rsid w:val="00C1298E"/>
    <w:rsid w:val="00C1473F"/>
    <w:rsid w:val="00C27509"/>
    <w:rsid w:val="00C27F93"/>
    <w:rsid w:val="00C442AD"/>
    <w:rsid w:val="00C80750"/>
    <w:rsid w:val="00CB5CB1"/>
    <w:rsid w:val="00D24D09"/>
    <w:rsid w:val="00D34831"/>
    <w:rsid w:val="00D57D1A"/>
    <w:rsid w:val="00D81354"/>
    <w:rsid w:val="00DC0AB1"/>
    <w:rsid w:val="00E14B9E"/>
    <w:rsid w:val="00E930C8"/>
    <w:rsid w:val="00ED5447"/>
    <w:rsid w:val="00EE5AD6"/>
    <w:rsid w:val="00F27AF8"/>
    <w:rsid w:val="00F50B62"/>
    <w:rsid w:val="00F6161C"/>
    <w:rsid w:val="00F71E6E"/>
    <w:rsid w:val="00F855E3"/>
    <w:rsid w:val="00FC7C08"/>
    <w:rsid w:val="00FE15FA"/>
    <w:rsid w:val="FBA9D2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style01"/>
    <w:basedOn w:val="6"/>
    <w:qFormat/>
    <w:uiPriority w:val="0"/>
    <w:rPr>
      <w:rFonts w:hint="default" w:ascii="MicrosoftYaHei" w:hAnsi="MicrosoftYaHei"/>
      <w:color w:val="000000"/>
      <w:sz w:val="22"/>
      <w:szCs w:val="22"/>
    </w:rPr>
  </w:style>
  <w:style w:type="character" w:customStyle="1" w:styleId="8">
    <w:name w:val="页眉 字符"/>
    <w:basedOn w:val="6"/>
    <w:link w:val="3"/>
    <w:uiPriority w:val="99"/>
    <w:rPr>
      <w:sz w:val="18"/>
      <w:szCs w:val="18"/>
    </w:rPr>
  </w:style>
  <w:style w:type="character" w:customStyle="1" w:styleId="9">
    <w:name w:val="页脚 字符"/>
    <w:basedOn w:val="6"/>
    <w:link w:val="2"/>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Pages>
  <Words>88</Words>
  <Characters>508</Characters>
  <Lines>4</Lines>
  <Paragraphs>1</Paragraphs>
  <TotalTime>2</TotalTime>
  <ScaleCrop>false</ScaleCrop>
  <LinksUpToDate>false</LinksUpToDate>
  <CharactersWithSpaces>595</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2022-07-28T14:35:00Z</dcterms:created>
  <dc:creator>China</dc:creator>
  <cp:lastModifiedBy>amour</cp:lastModifiedBy>
  <dcterms:modified xsi:type="dcterms:W3CDTF">2026-02-27T15:11:13Z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F16D7A0BF7C43D999143A1693C73BE38_42</vt:lpwstr>
  </property>
</Properties>
</file>