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859"/>
        <w:gridCol w:w="6039"/>
        <w:gridCol w:w="1169"/>
        <w:gridCol w:w="992"/>
      </w:tblGrid>
      <w:tr w14:paraId="623C5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22" w:type="dxa"/>
            <w:vAlign w:val="center"/>
          </w:tcPr>
          <w:p w14:paraId="7F19B350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序号</w:t>
            </w:r>
          </w:p>
        </w:tc>
        <w:tc>
          <w:tcPr>
            <w:tcW w:w="859" w:type="dxa"/>
            <w:vAlign w:val="center"/>
          </w:tcPr>
          <w:p w14:paraId="502E2468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名称</w:t>
            </w:r>
          </w:p>
        </w:tc>
        <w:tc>
          <w:tcPr>
            <w:tcW w:w="6039" w:type="dxa"/>
            <w:vAlign w:val="center"/>
          </w:tcPr>
          <w:p w14:paraId="48E1FF16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技术指标</w:t>
            </w:r>
          </w:p>
        </w:tc>
        <w:tc>
          <w:tcPr>
            <w:tcW w:w="1169" w:type="dxa"/>
            <w:vAlign w:val="center"/>
          </w:tcPr>
          <w:p w14:paraId="4509668C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偏离说明</w:t>
            </w:r>
          </w:p>
          <w:p w14:paraId="370B2CE4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(无偏离/正偏离/负偏离)</w:t>
            </w:r>
          </w:p>
        </w:tc>
        <w:tc>
          <w:tcPr>
            <w:tcW w:w="992" w:type="dxa"/>
            <w:vAlign w:val="center"/>
          </w:tcPr>
          <w:p w14:paraId="5E0534EE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偏离值</w:t>
            </w:r>
          </w:p>
        </w:tc>
      </w:tr>
      <w:tr w14:paraId="28224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2" w:type="dxa"/>
            <w:vAlign w:val="center"/>
          </w:tcPr>
          <w:p w14:paraId="1B58BE7A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82676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主室腔体及真空系统、样品架运动系统、多功能样品架</w:t>
            </w:r>
          </w:p>
        </w:tc>
        <w:tc>
          <w:tcPr>
            <w:tcW w:w="6039" w:type="dxa"/>
            <w:vAlign w:val="center"/>
          </w:tcPr>
          <w:p w14:paraId="658842A2">
            <w:pPr>
              <w:tabs>
                <w:tab w:val="left" w:pos="6915"/>
              </w:tabs>
              <w:jc w:val="left"/>
              <w:rPr>
                <w:rFonts w:hint="eastAsia" w:ascii="仿宋" w:hAnsi="仿宋" w:eastAsia="仿宋" w:cs="仿宋"/>
                <w:sz w:val="20"/>
                <w:lang w:val="en-US" w:eastAsia="zh-CN"/>
              </w:rPr>
            </w:pPr>
            <w:bookmarkStart w:id="0" w:name="_Hlk205047535"/>
            <w:r>
              <w:rPr>
                <w:rFonts w:hint="eastAsia" w:ascii="仿宋" w:hAnsi="仿宋" w:eastAsia="仿宋" w:cs="仿宋"/>
                <w:sz w:val="20"/>
                <w:lang w:val="en-US" w:eastAsia="zh-CN"/>
              </w:rPr>
              <w:t>数量:1套</w:t>
            </w:r>
          </w:p>
          <w:p w14:paraId="4AD96735">
            <w:pPr>
              <w:tabs>
                <w:tab w:val="left" w:pos="6915"/>
              </w:tabs>
              <w:jc w:val="left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sz w:val="20"/>
              </w:rPr>
              <w:t>主室腔体及真空系统、样品架运动系统、多功能样品架及光斑成像、样品成像附件为整体系统。系统组成如下图示意。</w:t>
            </w:r>
          </w:p>
          <w:p w14:paraId="6DFB3591">
            <w:pPr>
              <w:tabs>
                <w:tab w:val="left" w:pos="6915"/>
              </w:tabs>
              <w:jc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drawing>
                <wp:inline distT="0" distB="0" distL="0" distR="0">
                  <wp:extent cx="1943100" cy="1097280"/>
                  <wp:effectExtent l="0" t="0" r="0" b="762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1097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D69A94F">
            <w:pPr>
              <w:tabs>
                <w:tab w:val="left" w:pos="6915"/>
              </w:tabs>
              <w:jc w:val="center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sz w:val="20"/>
              </w:rPr>
              <w:t>系统组成示意图</w:t>
            </w:r>
          </w:p>
          <w:p w14:paraId="7CF2B895">
            <w:pPr>
              <w:tabs>
                <w:tab w:val="left" w:pos="6915"/>
              </w:tabs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</w:rPr>
              <w:t>主要部件的指标如下表：</w:t>
            </w:r>
          </w:p>
          <w:tbl>
            <w:tblPr>
              <w:tblStyle w:val="3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9"/>
              <w:gridCol w:w="4814"/>
            </w:tblGrid>
            <w:tr w14:paraId="0501AFC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  <w:jc w:val="center"/>
              </w:trPr>
              <w:tc>
                <w:tcPr>
                  <w:tcW w:w="999" w:type="dxa"/>
                  <w:vAlign w:val="center"/>
                </w:tcPr>
                <w:p w14:paraId="7F01D652">
                  <w:pPr>
                    <w:jc w:val="center"/>
                    <w:rPr>
                      <w:rFonts w:hint="eastAsia" w:ascii="仿宋" w:hAnsi="仿宋" w:eastAsia="仿宋" w:cs="仿宋"/>
                      <w:sz w:val="18"/>
                      <w:szCs w:val="18"/>
                    </w:rPr>
                  </w:pPr>
                </w:p>
                <w:p w14:paraId="11528C01">
                  <w:pPr>
                    <w:jc w:val="center"/>
                    <w:rPr>
                      <w:rFonts w:hint="eastAsia" w:ascii="仿宋" w:hAnsi="仿宋" w:eastAsia="仿宋" w:cs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</w:rPr>
                    <w:t>项目</w:t>
                  </w:r>
                </w:p>
              </w:tc>
              <w:tc>
                <w:tcPr>
                  <w:tcW w:w="0" w:type="auto"/>
                  <w:vAlign w:val="center"/>
                </w:tcPr>
                <w:p w14:paraId="7BF23E91">
                  <w:pPr>
                    <w:jc w:val="center"/>
                    <w:rPr>
                      <w:rFonts w:hint="eastAsia" w:ascii="仿宋" w:hAnsi="仿宋" w:eastAsia="仿宋" w:cs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</w:rPr>
                    <w:t>指标要求</w:t>
                  </w:r>
                </w:p>
              </w:tc>
            </w:tr>
            <w:tr w14:paraId="02FF6DF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  <w:jc w:val="center"/>
              </w:trPr>
              <w:tc>
                <w:tcPr>
                  <w:tcW w:w="999" w:type="dxa"/>
                  <w:vAlign w:val="center"/>
                </w:tcPr>
                <w:p w14:paraId="316AA1A7">
                  <w:pPr>
                    <w:widowControl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</w:rPr>
                    <w:t>真空腔体</w:t>
                  </w:r>
                </w:p>
              </w:tc>
              <w:tc>
                <w:tcPr>
                  <w:tcW w:w="0" w:type="auto"/>
                  <w:vAlign w:val="center"/>
                </w:tcPr>
                <w:p w14:paraId="4580D1C3">
                  <w:pPr>
                    <w:pStyle w:val="5"/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316L不锈钢，直径~200mm，高度~600mm；</w:t>
                  </w:r>
                </w:p>
                <w:p w14:paraId="583D8EBA">
                  <w:pPr>
                    <w:pStyle w:val="5"/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极限真空优于5×10E-8 Pa，耐烘烤温度≥120 ℃，漏率≤5×10E-10 mbar L/s，</w:t>
                  </w:r>
                </w:p>
                <w:p w14:paraId="51147CC2">
                  <w:pPr>
                    <w:pStyle w:val="5"/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腔体法兰接口包括CF35（不少于15个）,CF63（不少于2个）, CF100（不少于2个），CF150（不少于3个）；</w:t>
                  </w:r>
                </w:p>
                <w:p w14:paraId="1E40270D">
                  <w:pPr>
                    <w:pStyle w:val="5"/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至少6个CF35接口和1个CF63接口配光学观察窗；</w:t>
                  </w:r>
                </w:p>
                <w:p w14:paraId="0231005D">
                  <w:pPr>
                    <w:pStyle w:val="5"/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Loadlock腔体，含样品暂存架和行程600mm磁力耦合传样杆；</w:t>
                  </w:r>
                </w:p>
                <w:p w14:paraId="0A9ECC61">
                  <w:pPr>
                    <w:pStyle w:val="5"/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碳钢烤漆调节支撑；</w:t>
                  </w:r>
                </w:p>
                <w:p w14:paraId="35CC98D9">
                  <w:pPr>
                    <w:pStyle w:val="5"/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全量程规;</w:t>
                  </w:r>
                </w:p>
                <w:p w14:paraId="4937FBDE">
                  <w:pPr>
                    <w:pStyle w:val="5"/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离子泵：CF100接口；抽速不低于150 L/s ；500mm处水平面内杂散磁场强度不超过0.5高斯（提供实测数据或者正规产品手册数据）；</w:t>
                  </w:r>
                </w:p>
                <w:p w14:paraId="23DB778A">
                  <w:pPr>
                    <w:pStyle w:val="5"/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分子泵：CF100接口；抽速不低于260 L/s；控制接口：</w:t>
                  </w:r>
                  <w:r>
                    <w:rPr>
                      <w:rFonts w:hint="eastAsia" w:ascii="仿宋" w:hAnsi="仿宋" w:eastAsia="仿宋" w:cs="仿宋"/>
                      <w:sz w:val="18"/>
                      <w:szCs w:val="18"/>
                    </w:rPr>
                    <w:t>RS-485；</w:t>
                  </w:r>
                </w:p>
                <w:p w14:paraId="3C908A2A">
                  <w:pPr>
                    <w:pStyle w:val="5"/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前级泵：涡旋真空泵，抽速不低于12 m</w:t>
                  </w: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vertAlign w:val="superscript"/>
                      <w:lang w:bidi="ar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/h</w:t>
                  </w:r>
                </w:p>
                <w:p w14:paraId="7A7A6816">
                  <w:pPr>
                    <w:pStyle w:val="5"/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插板阀：CF150超高真空阀门，手动。</w:t>
                  </w:r>
                </w:p>
              </w:tc>
            </w:tr>
            <w:tr w14:paraId="5FD5C89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999" w:type="dxa"/>
                  <w:vAlign w:val="center"/>
                </w:tcPr>
                <w:p w14:paraId="68912B86">
                  <w:pPr>
                    <w:widowControl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000000" w:themeColor="text1"/>
                      <w:sz w:val="18"/>
                      <w:szCs w:val="1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kern w:val="0"/>
                      <w:sz w:val="18"/>
                      <w:szCs w:val="18"/>
                      <w:lang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样品架运动系统和多功能样品架</w:t>
                  </w:r>
                </w:p>
              </w:tc>
              <w:tc>
                <w:tcPr>
                  <w:tcW w:w="0" w:type="auto"/>
                  <w:vAlign w:val="center"/>
                </w:tcPr>
                <w:p w14:paraId="67453FBD">
                  <w:pPr>
                    <w:pStyle w:val="5"/>
                    <w:numPr>
                      <w:ilvl w:val="0"/>
                      <w:numId w:val="2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行程：XYZ，Z:100mm，XY：±10mm，R：±180°;</w:t>
                  </w:r>
                </w:p>
                <w:p w14:paraId="0D629FBA">
                  <w:pPr>
                    <w:pStyle w:val="5"/>
                    <w:numPr>
                      <w:ilvl w:val="0"/>
                      <w:numId w:val="2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运动控制精度：-/+0.01mm（X、Y），0.05mm（Z）; 0.05°（R）；</w:t>
                  </w:r>
                </w:p>
                <w:p w14:paraId="252A4EBE">
                  <w:pPr>
                    <w:pStyle w:val="5"/>
                    <w:numPr>
                      <w:ilvl w:val="0"/>
                      <w:numId w:val="2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四维运动均由步进电机驱动，包含电机控制器，配编码器；</w:t>
                  </w:r>
                </w:p>
                <w:p w14:paraId="3D8F897A">
                  <w:pPr>
                    <w:pStyle w:val="5"/>
                    <w:numPr>
                      <w:ilvl w:val="0"/>
                      <w:numId w:val="2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安装法兰CF63；</w:t>
                  </w:r>
                </w:p>
                <w:p w14:paraId="046520FF">
                  <w:pPr>
                    <w:pStyle w:val="5"/>
                    <w:numPr>
                      <w:ilvl w:val="0"/>
                      <w:numId w:val="2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配置旋转差分法兰；</w:t>
                  </w:r>
                </w:p>
                <w:p w14:paraId="3CEE80A0">
                  <w:pPr>
                    <w:pStyle w:val="5"/>
                    <w:numPr>
                      <w:ilvl w:val="0"/>
                      <w:numId w:val="2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预留CF16法兰接口至少一个；</w:t>
                  </w:r>
                </w:p>
                <w:p w14:paraId="20A11255">
                  <w:pPr>
                    <w:pStyle w:val="5"/>
                    <w:numPr>
                      <w:ilvl w:val="0"/>
                      <w:numId w:val="2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控温范围20K-420K；</w:t>
                  </w:r>
                </w:p>
                <w:p w14:paraId="221D0851">
                  <w:pPr>
                    <w:pStyle w:val="5"/>
                    <w:numPr>
                      <w:ilvl w:val="0"/>
                      <w:numId w:val="2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样品信号采用超高真空屏蔽信号线由带BNC的CF16法兰接口引出，对地漏电流不超过0.1pA;</w:t>
                  </w:r>
                </w:p>
              </w:tc>
            </w:tr>
            <w:tr w14:paraId="01A87EE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999" w:type="dxa"/>
                  <w:vAlign w:val="center"/>
                </w:tcPr>
                <w:p w14:paraId="247C42EA">
                  <w:pPr>
                    <w:widowControl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000000" w:themeColor="text1"/>
                      <w:sz w:val="18"/>
                      <w:szCs w:val="1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kern w:val="0"/>
                      <w:sz w:val="18"/>
                      <w:szCs w:val="18"/>
                      <w:lang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光斑成像装置</w:t>
                  </w:r>
                </w:p>
              </w:tc>
              <w:tc>
                <w:tcPr>
                  <w:tcW w:w="0" w:type="auto"/>
                  <w:vAlign w:val="center"/>
                </w:tcPr>
                <w:p w14:paraId="2670A3DD">
                  <w:pPr>
                    <w:pStyle w:val="5"/>
                    <w:numPr>
                      <w:ilvl w:val="0"/>
                      <w:numId w:val="3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 xml:space="preserve">气缸驱动闪烁体进入/移出光路，行程不小于30mm，重复定位精度优于100 </w:t>
                  </w: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sym w:font="Symbol" w:char="F06D"/>
                  </w: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m；</w:t>
                  </w:r>
                </w:p>
                <w:p w14:paraId="030F5ACE">
                  <w:pPr>
                    <w:pStyle w:val="5"/>
                    <w:numPr>
                      <w:ilvl w:val="0"/>
                      <w:numId w:val="3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CCD相机：分辨率优于2448×2048，支持GigE数据接口，带姿态调节支架；</w:t>
                  </w:r>
                </w:p>
                <w:p w14:paraId="6F5ECDCD">
                  <w:pPr>
                    <w:pStyle w:val="5"/>
                    <w:numPr>
                      <w:ilvl w:val="0"/>
                      <w:numId w:val="3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Ce:YAG闪烁晶体：面积10×10mm，带正交刻线；</w:t>
                  </w:r>
                </w:p>
                <w:p w14:paraId="34D98B7E">
                  <w:pPr>
                    <w:pStyle w:val="5"/>
                    <w:numPr>
                      <w:ilvl w:val="0"/>
                      <w:numId w:val="3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3个CF63法兰接口；</w:t>
                  </w:r>
                </w:p>
                <w:p w14:paraId="6D98B9A9">
                  <w:pPr>
                    <w:pStyle w:val="5"/>
                    <w:numPr>
                      <w:ilvl w:val="0"/>
                      <w:numId w:val="3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准直标靶；</w:t>
                  </w:r>
                </w:p>
                <w:p w14:paraId="26173C4B">
                  <w:pPr>
                    <w:pStyle w:val="5"/>
                    <w:numPr>
                      <w:ilvl w:val="0"/>
                      <w:numId w:val="3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碳钢烤漆调节支撑</w:t>
                  </w:r>
                </w:p>
              </w:tc>
            </w:tr>
            <w:tr w14:paraId="1896166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999" w:type="dxa"/>
                  <w:vAlign w:val="center"/>
                </w:tcPr>
                <w:p w14:paraId="0908CE6B">
                  <w:pPr>
                    <w:widowControl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000000" w:themeColor="text1"/>
                      <w:sz w:val="18"/>
                      <w:szCs w:val="1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18"/>
                      <w:szCs w:val="18"/>
                      <w14:textFill>
                        <w14:solidFill>
                          <w14:schemeClr w14:val="tx1"/>
                        </w14:solidFill>
                      </w14:textFill>
                    </w:rPr>
                    <w:t>样品成像装置</w:t>
                  </w:r>
                </w:p>
              </w:tc>
              <w:tc>
                <w:tcPr>
                  <w:tcW w:w="0" w:type="auto"/>
                  <w:vAlign w:val="center"/>
                </w:tcPr>
                <w:p w14:paraId="60B7AC69">
                  <w:pPr>
                    <w:pStyle w:val="5"/>
                    <w:numPr>
                      <w:ilvl w:val="0"/>
                      <w:numId w:val="4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316不锈钢，长度约240mm，两端为CF63接口；</w:t>
                  </w:r>
                </w:p>
                <w:p w14:paraId="43884093">
                  <w:pPr>
                    <w:pStyle w:val="5"/>
                    <w:numPr>
                      <w:ilvl w:val="0"/>
                      <w:numId w:val="4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配6个CF35法兰接口，其中光学观察窗不少于3个；</w:t>
                  </w:r>
                </w:p>
                <w:p w14:paraId="3DD78020">
                  <w:pPr>
                    <w:pStyle w:val="5"/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CCD相机：分辨率优于2448×2048，支持GigE数据接口，带固定支架；</w:t>
                  </w:r>
                </w:p>
                <w:p w14:paraId="015FA12C">
                  <w:pPr>
                    <w:pStyle w:val="5"/>
                    <w:numPr>
                      <w:ilvl w:val="0"/>
                      <w:numId w:val="4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反射镜及调节组件，保证CCD可以从光束方向监测样品点位置；</w:t>
                  </w:r>
                </w:p>
                <w:p w14:paraId="275E5146">
                  <w:pPr>
                    <w:pStyle w:val="5"/>
                    <w:numPr>
                      <w:ilvl w:val="0"/>
                      <w:numId w:val="4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参比样品架：Z方向行程75mm，电控，带编码器，精度优于0.1mm；旋转角度范围360</w:t>
                  </w: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vertAlign w:val="superscript"/>
                      <w:lang w:bidi="ar"/>
                    </w:rPr>
                    <w:t>o</w:t>
                  </w: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；配BNC信号引出接口，对地漏电流小于0.1 pA; 不少于8个参比样品槽位。</w:t>
                  </w:r>
                </w:p>
              </w:tc>
            </w:tr>
            <w:tr w14:paraId="370AE0D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999" w:type="dxa"/>
                  <w:vAlign w:val="center"/>
                </w:tcPr>
                <w:p w14:paraId="2FC91446">
                  <w:pPr>
                    <w:widowControl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000000" w:themeColor="text1"/>
                      <w:kern w:val="0"/>
                      <w:sz w:val="18"/>
                      <w:szCs w:val="18"/>
                      <w:lang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kern w:val="0"/>
                      <w:sz w:val="18"/>
                      <w:szCs w:val="18"/>
                      <w:lang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装调</w:t>
                  </w:r>
                </w:p>
              </w:tc>
              <w:tc>
                <w:tcPr>
                  <w:tcW w:w="0" w:type="auto"/>
                  <w:vAlign w:val="center"/>
                </w:tcPr>
                <w:p w14:paraId="36D71F74">
                  <w:pPr>
                    <w:pStyle w:val="5"/>
                    <w:numPr>
                      <w:ilvl w:val="0"/>
                      <w:numId w:val="5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系统安装、检漏、达到静态真空度</w:t>
                  </w:r>
                </w:p>
                <w:p w14:paraId="1AD63BF4">
                  <w:pPr>
                    <w:pStyle w:val="5"/>
                    <w:numPr>
                      <w:ilvl w:val="0"/>
                      <w:numId w:val="5"/>
                    </w:numP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 xml:space="preserve">准直精度：100 </w:t>
                  </w: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sym w:font="Symbol" w:char="F06D"/>
                  </w:r>
                  <w:r>
                    <w:rPr>
                      <w:rFonts w:hint="eastAsia" w:ascii="仿宋" w:hAnsi="仿宋" w:eastAsia="仿宋" w:cs="仿宋"/>
                      <w:sz w:val="18"/>
                      <w:szCs w:val="18"/>
                      <w:lang w:bidi="ar"/>
                    </w:rPr>
                    <w:t>m</w:t>
                  </w:r>
                </w:p>
              </w:tc>
            </w:tr>
            <w:bookmarkEnd w:id="0"/>
          </w:tbl>
          <w:p w14:paraId="5B377D94">
            <w:pPr>
              <w:tabs>
                <w:tab w:val="left" w:pos="6915"/>
              </w:tabs>
              <w:jc w:val="left"/>
              <w:rPr>
                <w:rFonts w:hint="eastAsia" w:ascii="仿宋" w:hAnsi="仿宋" w:eastAsia="仿宋" w:cs="仿宋"/>
                <w:bCs/>
                <w:sz w:val="22"/>
                <w:szCs w:val="22"/>
              </w:rPr>
            </w:pPr>
          </w:p>
        </w:tc>
        <w:tc>
          <w:tcPr>
            <w:tcW w:w="1169" w:type="dxa"/>
            <w:vAlign w:val="center"/>
          </w:tcPr>
          <w:p w14:paraId="60C46D37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6FBBA055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bookmarkStart w:id="1" w:name="_GoBack"/>
            <w:bookmarkEnd w:id="1"/>
          </w:p>
        </w:tc>
      </w:tr>
      <w:tr w14:paraId="2E349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2" w:type="dxa"/>
            <w:vAlign w:val="center"/>
          </w:tcPr>
          <w:p w14:paraId="35476DB3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29E4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商务条款</w:t>
            </w:r>
          </w:p>
        </w:tc>
        <w:tc>
          <w:tcPr>
            <w:tcW w:w="6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3B770">
            <w:pPr>
              <w:tabs>
                <w:tab w:val="left" w:pos="6915"/>
              </w:tabs>
              <w:spacing w:before="120" w:line="240" w:lineRule="auto"/>
              <w:jc w:val="left"/>
              <w:rPr>
                <w:rFonts w:hint="eastAsia" w:ascii="仿宋" w:hAnsi="仿宋" w:eastAsia="仿宋" w:cs="仿宋"/>
                <w:sz w:val="2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交货期：</w:t>
            </w:r>
            <w:r>
              <w:rPr>
                <w:rFonts w:hint="eastAsia" w:ascii="仿宋" w:hAnsi="仿宋" w:eastAsia="仿宋" w:cs="仿宋"/>
                <w:sz w:val="20"/>
              </w:rPr>
              <w:t>合同签订后6个月内交付</w:t>
            </w:r>
            <w:r>
              <w:rPr>
                <w:rFonts w:hint="eastAsia" w:ascii="仿宋" w:hAnsi="仿宋" w:eastAsia="仿宋" w:cs="仿宋"/>
                <w:sz w:val="20"/>
                <w:lang w:eastAsia="zh-CN"/>
              </w:rPr>
              <w:t>。</w:t>
            </w:r>
          </w:p>
          <w:p w14:paraId="00D99E59">
            <w:pPr>
              <w:tabs>
                <w:tab w:val="left" w:pos="6915"/>
              </w:tabs>
              <w:spacing w:before="120" w:line="240" w:lineRule="auto"/>
              <w:jc w:val="left"/>
              <w:rPr>
                <w:rFonts w:hint="eastAsia" w:ascii="仿宋" w:hAnsi="仿宋" w:eastAsia="仿宋" w:cs="仿宋"/>
                <w:sz w:val="2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交付进度：</w:t>
            </w:r>
            <w:r>
              <w:rPr>
                <w:rFonts w:hint="eastAsia" w:ascii="仿宋" w:hAnsi="仿宋" w:eastAsia="仿宋" w:cs="仿宋"/>
                <w:sz w:val="20"/>
              </w:rPr>
              <w:t>合同签订后6个月内交付，到货3个月完成安装调试</w:t>
            </w:r>
            <w:r>
              <w:rPr>
                <w:rFonts w:hint="eastAsia" w:ascii="仿宋" w:hAnsi="仿宋" w:eastAsia="仿宋" w:cs="仿宋"/>
                <w:sz w:val="20"/>
                <w:lang w:eastAsia="zh-CN"/>
              </w:rPr>
              <w:t>。</w:t>
            </w:r>
          </w:p>
          <w:p w14:paraId="063DF81A">
            <w:pPr>
              <w:tabs>
                <w:tab w:val="left" w:pos="6915"/>
              </w:tabs>
              <w:spacing w:before="120" w:line="240" w:lineRule="auto"/>
              <w:jc w:val="left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付款方式：</w:t>
            </w:r>
          </w:p>
          <w:p w14:paraId="09A1E0BA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仿宋" w:hAnsi="仿宋" w:eastAsia="仿宋" w:cs="仿宋"/>
                <w:b/>
                <w:sz w:val="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</w:rPr>
              <w:t>合同签订后预付合同总额的30%，腔体加工完成，真空测试达标后支付合同总额的50%</w:t>
            </w:r>
            <w:r>
              <w:rPr>
                <w:rFonts w:hint="eastAsia" w:ascii="仿宋" w:hAnsi="仿宋" w:eastAsia="仿宋" w:cs="仿宋"/>
                <w:sz w:val="20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0"/>
              </w:rPr>
              <w:t>货到指定地点，装调并验收合格后支付合同总额的20%</w:t>
            </w:r>
            <w:r>
              <w:rPr>
                <w:rFonts w:hint="eastAsia" w:ascii="仿宋" w:hAnsi="仿宋" w:eastAsia="仿宋" w:cs="仿宋"/>
                <w:sz w:val="20"/>
                <w:lang w:eastAsia="zh-CN"/>
              </w:rPr>
              <w:t>。</w:t>
            </w:r>
          </w:p>
          <w:p w14:paraId="50609E60">
            <w:pPr>
              <w:tabs>
                <w:tab w:val="left" w:pos="6915"/>
              </w:tabs>
              <w:spacing w:before="120" w:line="240" w:lineRule="auto"/>
              <w:jc w:val="left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验收指标及验收要求：</w:t>
            </w:r>
          </w:p>
          <w:p w14:paraId="50AE6C57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sz w:val="20"/>
              </w:rPr>
              <w:t>极限真空优于5×10E-8 Pa；</w:t>
            </w:r>
          </w:p>
          <w:p w14:paraId="3364DAC1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sz w:val="20"/>
              </w:rPr>
              <w:t>样品架XY运动行程: -/+10mm，精度-/+0.01mm，Z轴运动行程: 100mm, 精度 0.05mm，R轴旋转行程:360°, 精度0.05°。</w:t>
            </w:r>
          </w:p>
          <w:p w14:paraId="6980CE06">
            <w:pPr>
              <w:tabs>
                <w:tab w:val="left" w:pos="6915"/>
              </w:tabs>
              <w:spacing w:before="120" w:line="240" w:lineRule="auto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保修及售后服务：</w:t>
            </w:r>
            <w:r>
              <w:rPr>
                <w:rFonts w:hint="eastAsia" w:ascii="仿宋" w:hAnsi="仿宋" w:eastAsia="仿宋" w:cs="仿宋"/>
                <w:sz w:val="20"/>
              </w:rPr>
              <w:t>质保期一年</w:t>
            </w:r>
            <w:r>
              <w:rPr>
                <w:rFonts w:hint="eastAsia" w:ascii="仿宋" w:hAnsi="仿宋" w:eastAsia="仿宋" w:cs="仿宋"/>
                <w:sz w:val="20"/>
                <w:lang w:eastAsia="zh-CN"/>
              </w:rPr>
              <w:t>。</w:t>
            </w:r>
          </w:p>
        </w:tc>
        <w:tc>
          <w:tcPr>
            <w:tcW w:w="1169" w:type="dxa"/>
            <w:vAlign w:val="center"/>
          </w:tcPr>
          <w:p w14:paraId="575ECD9D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11E0EFEF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</w:tbl>
    <w:p w14:paraId="0DED7F3B">
      <w:pPr>
        <w:ind w:right="840" w:firstLine="4620" w:firstLineChars="2100"/>
        <w:rPr>
          <w:rFonts w:hint="eastAsia" w:ascii="仿宋" w:hAnsi="仿宋" w:eastAsia="仿宋" w:cs="仿宋"/>
          <w:sz w:val="22"/>
          <w:szCs w:val="22"/>
        </w:rPr>
      </w:pPr>
    </w:p>
    <w:p w14:paraId="6B36AD4F">
      <w:pPr>
        <w:ind w:right="840" w:firstLine="4620" w:firstLineChars="2100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公司名称（盖章）：</w:t>
      </w:r>
    </w:p>
    <w:p w14:paraId="13605286">
      <w:pPr>
        <w:ind w:right="840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2"/>
          <w:szCs w:val="22"/>
        </w:rPr>
        <w:t xml:space="preserve">        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DA72DD"/>
    <w:multiLevelType w:val="multilevel"/>
    <w:tmpl w:val="37DA72DD"/>
    <w:lvl w:ilvl="0" w:tentative="0">
      <w:start w:val="1"/>
      <w:numFmt w:val="decimal"/>
      <w:pStyle w:val="5"/>
      <w:lvlText w:val="%1."/>
      <w:lvlJc w:val="left"/>
      <w:pPr>
        <w:ind w:left="720" w:hanging="360"/>
      </w:pPr>
      <w:rPr>
        <w:rFonts w:hint="default" w:ascii="Times New Roman" w:hAnsi="Times New Roman"/>
        <w:sz w:val="18"/>
        <w:szCs w:val="18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269BE"/>
    <w:rsid w:val="2D9269BE"/>
    <w:rsid w:val="57FC6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autoRedefine/>
    <w:qFormat/>
    <w:uiPriority w:val="99"/>
    <w:pPr>
      <w:widowControl/>
      <w:numPr>
        <w:ilvl w:val="0"/>
        <w:numId w:val="1"/>
      </w:numPr>
      <w:contextualSpacing/>
      <w:jc w:val="left"/>
      <w:textAlignment w:val="center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479</Words>
  <Characters>601</Characters>
  <Lines>0</Lines>
  <Paragraphs>0</Paragraphs>
  <TotalTime>2</TotalTime>
  <ScaleCrop>false</ScaleCrop>
  <LinksUpToDate>false</LinksUpToDate>
  <CharactersWithSpaces>648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2025-09-09T07:40:00Z</dcterms:created>
  <dc:creator>amour</dc:creator>
  <cp:lastModifiedBy>amour</cp:lastModifiedBy>
  <dcterms:modified xsi:type="dcterms:W3CDTF">2025-10-17T06:52:17Z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7FB937FB4F3D4F4EB10816B7B4E80135_11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