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逐束团反馈控制器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DD601AC"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  <w:r>
              <w:rPr>
                <w:rFonts w:hint="eastAsia"/>
              </w:rPr>
              <w:t>数量：4；</w:t>
            </w:r>
          </w:p>
          <w:p w14:paraId="524E2AC9">
            <w:pPr>
              <w:pStyle w:val="11"/>
              <w:numPr>
                <w:ilvl w:val="0"/>
                <w:numId w:val="0"/>
              </w:numPr>
              <w:ind w:leftChars="0"/>
            </w:pP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</w:rPr>
              <w:t>采用载板+FMC子板架构，载板核心FPGA芯片使用</w:t>
            </w:r>
            <w:r>
              <w:t>xczu19eg</w:t>
            </w:r>
            <w:r>
              <w:rPr>
                <w:rFonts w:hint="eastAsia"/>
              </w:rPr>
              <w:t>系列芯片；</w:t>
            </w:r>
          </w:p>
          <w:p w14:paraId="7C2C509D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2、</w:t>
            </w:r>
            <w:r>
              <w:rPr>
                <w:rFonts w:hint="eastAsia"/>
              </w:rPr>
              <w:t>通道数：4通道AD，2通道DA；</w:t>
            </w:r>
          </w:p>
          <w:p w14:paraId="4B1DA2C7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3、</w:t>
            </w:r>
            <w:r>
              <w:rPr>
                <w:rFonts w:hint="eastAsia"/>
              </w:rPr>
              <w:t>支持外时钟和外触发，AD及DA使用同源时钟及触发；</w:t>
            </w:r>
          </w:p>
          <w:p w14:paraId="4AFA7CFE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4、</w:t>
            </w:r>
            <w:r>
              <w:rPr>
                <w:rFonts w:hint="eastAsia"/>
              </w:rPr>
              <w:t>AD最大采样率≥1Gsps，模拟带宽≥2GHz；DA最大采样率≥6Gsps，模拟带宽≥2GHz；</w:t>
            </w:r>
          </w:p>
          <w:p w14:paraId="0699E7CE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5、</w:t>
            </w:r>
            <w:r>
              <w:rPr>
                <w:rFonts w:hint="eastAsia"/>
              </w:rPr>
              <w:t>AD位数≥1</w:t>
            </w:r>
            <w:r>
              <w:t>4</w:t>
            </w:r>
            <w:r>
              <w:rPr>
                <w:rFonts w:hint="eastAsia"/>
              </w:rPr>
              <w:t>bit，DA位数≥1</w:t>
            </w:r>
            <w:r>
              <w:t>6</w:t>
            </w:r>
            <w:r>
              <w:rPr>
                <w:rFonts w:hint="eastAsia"/>
              </w:rPr>
              <w:t>bit；</w:t>
            </w:r>
          </w:p>
          <w:p w14:paraId="595E80E8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6、</w:t>
            </w:r>
            <w:r>
              <w:rPr>
                <w:rFonts w:hint="eastAsia"/>
              </w:rPr>
              <w:t>提供网口，串口，光口等接口；</w:t>
            </w:r>
          </w:p>
          <w:p w14:paraId="38209696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eastAsia"/>
              </w:rPr>
              <w:t>1U</w:t>
            </w:r>
            <w:r>
              <w:t>19</w:t>
            </w:r>
            <w:r>
              <w:rPr>
                <w:rFonts w:hint="eastAsia"/>
              </w:rPr>
              <w:t>英寸标准机箱，模拟接口位于机箱后面板，采用SMA接口；数字接口位于前面板；电源接口位于后面板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07B68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及</w:t>
            </w: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个月内提供首件样机；样机验收后4个月内将全部货物送达至甲方指定地点</w:t>
            </w:r>
          </w:p>
          <w:p w14:paraId="44C09C11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0%，设备到货且甲方验收合格后支付合同总金额的</w:t>
            </w:r>
            <w:r>
              <w:rPr>
                <w:rFonts w:ascii="宋体" w:hAnsi="宋体"/>
                <w:szCs w:val="21"/>
              </w:rPr>
              <w:t>7</w:t>
            </w:r>
            <w:r>
              <w:rPr>
                <w:rFonts w:hint="eastAsia" w:ascii="宋体" w:hAnsi="宋体"/>
                <w:szCs w:val="21"/>
              </w:rPr>
              <w:t>0%</w:t>
            </w:r>
          </w:p>
          <w:p w14:paraId="51D129A4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szCs w:val="21"/>
              </w:rPr>
              <w:t>按上述规格和要求的技术指标</w:t>
            </w:r>
          </w:p>
          <w:p w14:paraId="47E58793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3个月内完成样机测试验收，按上述规格和要求的技术指标验收</w:t>
            </w:r>
          </w:p>
          <w:p w14:paraId="0CA6F7DD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设备质保期-现场验收合格后1年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451</Words>
  <Characters>506</Characters>
  <Lines>4</Lines>
  <Paragraphs>1</Paragraphs>
  <TotalTime>0</TotalTime>
  <ScaleCrop>false</ScaleCrop>
  <LinksUpToDate>false</LinksUpToDate>
  <CharactersWithSpaces>544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2026-04-16T02:39:46Z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