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143"/>
        <w:gridCol w:w="5743"/>
        <w:gridCol w:w="1464"/>
        <w:gridCol w:w="1023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GC/MS色谱质谱联用仪</w:t>
            </w:r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A119FE1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szCs w:val="21"/>
              </w:rPr>
              <w:t>、</w:t>
            </w:r>
            <w:r>
              <w:rPr>
                <w:rFonts w:ascii="宋体" w:hAnsi="宋体" w:cs="宋体"/>
                <w:bCs/>
                <w:szCs w:val="21"/>
              </w:rPr>
              <w:t>GC</w:t>
            </w:r>
            <w:r>
              <w:rPr>
                <w:rFonts w:hint="eastAsia" w:ascii="宋体" w:hAnsi="宋体" w:cs="宋体"/>
                <w:bCs/>
                <w:szCs w:val="21"/>
              </w:rPr>
              <w:t>柱箱：最大升温速率不低于</w:t>
            </w:r>
            <w:r>
              <w:rPr>
                <w:rFonts w:ascii="宋体" w:hAnsi="宋体" w:cs="宋体"/>
                <w:bCs/>
                <w:szCs w:val="21"/>
              </w:rPr>
              <w:t>100</w:t>
            </w:r>
            <w:r>
              <w:rPr>
                <w:bCs/>
                <w:szCs w:val="21"/>
              </w:rPr>
              <w:t>˚</w:t>
            </w:r>
            <w:r>
              <w:rPr>
                <w:rFonts w:ascii="宋体" w:hAnsi="宋体" w:cs="宋体"/>
                <w:bCs/>
                <w:szCs w:val="21"/>
              </w:rPr>
              <w:t>C/</w:t>
            </w:r>
            <w:r>
              <w:rPr>
                <w:rFonts w:hint="eastAsia" w:ascii="宋体" w:hAnsi="宋体" w:cs="宋体"/>
                <w:bCs/>
                <w:szCs w:val="21"/>
              </w:rPr>
              <w:t>分钟；</w:t>
            </w:r>
            <w:r>
              <w:rPr>
                <w:rFonts w:ascii="宋体" w:hAnsi="宋体" w:cs="宋体"/>
                <w:bCs/>
                <w:szCs w:val="21"/>
              </w:rPr>
              <w:t>GC</w:t>
            </w:r>
            <w:r>
              <w:rPr>
                <w:rFonts w:hint="eastAsia" w:ascii="宋体" w:hAnsi="宋体" w:cs="宋体"/>
                <w:bCs/>
                <w:szCs w:val="21"/>
              </w:rPr>
              <w:t>保留时间重现性</w:t>
            </w:r>
            <w:r>
              <w:rPr>
                <w:rFonts w:ascii="宋体" w:hAnsi="宋体" w:cs="宋体"/>
                <w:bCs/>
                <w:szCs w:val="21"/>
              </w:rPr>
              <w:t xml:space="preserve">: &lt;0.01% </w:t>
            </w:r>
            <w:r>
              <w:rPr>
                <w:rFonts w:hint="eastAsia" w:ascii="宋体" w:hAnsi="宋体" w:cs="宋体"/>
                <w:bCs/>
                <w:szCs w:val="21"/>
              </w:rPr>
              <w:t>或</w:t>
            </w:r>
            <w:r>
              <w:rPr>
                <w:rFonts w:ascii="宋体" w:hAnsi="宋体" w:cs="宋体"/>
                <w:bCs/>
                <w:szCs w:val="21"/>
              </w:rPr>
              <w:t>&lt;0.001 min</w:t>
            </w:r>
            <w:r>
              <w:rPr>
                <w:rFonts w:hint="eastAsia" w:ascii="宋体" w:hAnsi="宋体" w:cs="宋体"/>
                <w:bCs/>
                <w:szCs w:val="21"/>
              </w:rPr>
              <w:t>；</w:t>
            </w:r>
            <w:r>
              <w:rPr>
                <w:rFonts w:ascii="宋体" w:hAnsi="宋体" w:cs="宋体"/>
                <w:bCs/>
                <w:szCs w:val="21"/>
              </w:rPr>
              <w:t>GC</w:t>
            </w:r>
            <w:r>
              <w:rPr>
                <w:rFonts w:hint="eastAsia" w:ascii="宋体" w:hAnsi="宋体" w:cs="宋体"/>
                <w:bCs/>
                <w:szCs w:val="21"/>
              </w:rPr>
              <w:t>进样口</w:t>
            </w:r>
            <w:r>
              <w:rPr>
                <w:rFonts w:ascii="宋体" w:hAnsi="宋体" w:cs="宋体"/>
                <w:bCs/>
                <w:szCs w:val="21"/>
              </w:rPr>
              <w:t xml:space="preserve">: </w:t>
            </w:r>
            <w:r>
              <w:rPr>
                <w:rFonts w:hint="eastAsia" w:ascii="宋体" w:hAnsi="宋体" w:cs="宋体"/>
                <w:bCs/>
                <w:szCs w:val="21"/>
              </w:rPr>
              <w:t>分流比达到</w:t>
            </w:r>
            <w:r>
              <w:rPr>
                <w:rFonts w:ascii="宋体" w:hAnsi="宋体" w:cs="宋体"/>
                <w:bCs/>
                <w:szCs w:val="21"/>
              </w:rPr>
              <w:t>5000:1</w:t>
            </w:r>
            <w:r>
              <w:rPr>
                <w:rFonts w:hint="eastAsia" w:ascii="宋体" w:hAnsi="宋体" w:cs="宋体"/>
                <w:bCs/>
                <w:szCs w:val="21"/>
              </w:rPr>
              <w:t>。配备</w:t>
            </w:r>
            <w:r>
              <w:rPr>
                <w:rFonts w:ascii="宋体" w:hAnsi="宋体" w:cs="宋体"/>
                <w:bCs/>
                <w:szCs w:val="21"/>
              </w:rPr>
              <w:t>DB-5ms</w:t>
            </w:r>
            <w:r>
              <w:rPr>
                <w:rFonts w:hint="eastAsia" w:ascii="宋体" w:hAnsi="宋体" w:cs="宋体"/>
                <w:bCs/>
                <w:szCs w:val="21"/>
              </w:rPr>
              <w:t>色谱柱，</w:t>
            </w:r>
            <w:r>
              <w:rPr>
                <w:rFonts w:ascii="宋体" w:hAnsi="宋体" w:cs="宋体"/>
                <w:bCs/>
                <w:szCs w:val="21"/>
              </w:rPr>
              <w:t>30m×0.25mm×0.25μm</w:t>
            </w:r>
            <w:r>
              <w:rPr>
                <w:rFonts w:hint="eastAsia" w:ascii="宋体" w:hAnsi="宋体" w:cs="宋体"/>
                <w:bCs/>
                <w:szCs w:val="21"/>
              </w:rPr>
              <w:t>。</w:t>
            </w:r>
          </w:p>
          <w:p w14:paraId="409E59FF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2、采用反射式飞行时间质量分析器，具备多级离子脉冲移除功能。灵敏度：1 pg八氟萘进样下信噪比大于10:1；质量范围：2-800 amu；质量分辨：M/z=502，R&gt;1000；质量稳定性：±0.1 u/24h；峰面积重复性：RSD小于5%；采集速度：推斥频率不低于10 KHz；采谱累加速度不低于100谱/秒。</w:t>
            </w:r>
          </w:p>
          <w:p w14:paraId="45EF326E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3、色谱进样时电离室真空不低于5×10-3 Pa、质量分析器真空不低于1×10-3 Pa。</w:t>
            </w: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84622">
            <w:p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Cs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Cs/>
                <w:szCs w:val="21"/>
              </w:rPr>
              <w:t>3个月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内</w:t>
            </w:r>
          </w:p>
          <w:p w14:paraId="5D13D9F4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签订合同后3个月交货至国家同步辐射实验室</w:t>
            </w:r>
          </w:p>
          <w:p w14:paraId="78451910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签订合同后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支付合同总额的</w:t>
            </w:r>
            <w:r>
              <w:rPr>
                <w:rFonts w:hint="eastAsia" w:ascii="宋体" w:hAnsi="宋体"/>
                <w:bCs/>
                <w:szCs w:val="21"/>
              </w:rPr>
              <w:t>50%，到货验收合格后付尾款</w:t>
            </w:r>
          </w:p>
          <w:p w14:paraId="50609E60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0685A8E4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验收指标：</w:t>
            </w:r>
          </w:p>
          <w:p w14:paraId="53EF5D57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GC</w:t>
            </w:r>
            <w:r>
              <w:rPr>
                <w:rFonts w:hint="eastAsia" w:ascii="宋体" w:hAnsi="宋体" w:cs="宋体"/>
                <w:bCs/>
                <w:szCs w:val="21"/>
              </w:rPr>
              <w:t>柱箱：最大升温速率不低于</w:t>
            </w:r>
            <w:r>
              <w:rPr>
                <w:rFonts w:ascii="宋体" w:hAnsi="宋体" w:cs="宋体"/>
                <w:bCs/>
                <w:szCs w:val="21"/>
              </w:rPr>
              <w:t>100</w:t>
            </w:r>
            <w:r>
              <w:rPr>
                <w:bCs/>
                <w:szCs w:val="21"/>
              </w:rPr>
              <w:t>˚</w:t>
            </w:r>
            <w:r>
              <w:rPr>
                <w:rFonts w:ascii="宋体" w:hAnsi="宋体" w:cs="宋体"/>
                <w:bCs/>
                <w:szCs w:val="21"/>
              </w:rPr>
              <w:t>C/</w:t>
            </w:r>
            <w:r>
              <w:rPr>
                <w:rFonts w:hint="eastAsia" w:ascii="宋体" w:hAnsi="宋体" w:cs="宋体"/>
                <w:bCs/>
                <w:szCs w:val="21"/>
              </w:rPr>
              <w:t>分钟</w:t>
            </w:r>
          </w:p>
          <w:p w14:paraId="55CCC8C7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GC</w:t>
            </w:r>
            <w:r>
              <w:rPr>
                <w:rFonts w:hint="eastAsia" w:ascii="宋体" w:hAnsi="宋体" w:cs="宋体"/>
                <w:bCs/>
                <w:szCs w:val="21"/>
              </w:rPr>
              <w:t>保留时间重现性</w:t>
            </w:r>
            <w:r>
              <w:rPr>
                <w:rFonts w:ascii="宋体" w:hAnsi="宋体" w:cs="宋体"/>
                <w:bCs/>
                <w:szCs w:val="21"/>
              </w:rPr>
              <w:t xml:space="preserve">: &lt;0.01% </w:t>
            </w:r>
            <w:r>
              <w:rPr>
                <w:rFonts w:hint="eastAsia" w:ascii="宋体" w:hAnsi="宋体" w:cs="宋体"/>
                <w:bCs/>
                <w:szCs w:val="21"/>
              </w:rPr>
              <w:t>或</w:t>
            </w:r>
            <w:r>
              <w:rPr>
                <w:rFonts w:ascii="宋体" w:hAnsi="宋体" w:cs="宋体"/>
                <w:bCs/>
                <w:szCs w:val="21"/>
              </w:rPr>
              <w:t>&lt;0.001 min</w:t>
            </w:r>
          </w:p>
          <w:p w14:paraId="20FD2EB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ascii="宋体" w:hAnsi="宋体" w:cs="宋体"/>
                <w:bCs/>
                <w:szCs w:val="21"/>
              </w:rPr>
              <w:t>GC</w:t>
            </w:r>
            <w:r>
              <w:rPr>
                <w:rFonts w:hint="eastAsia" w:ascii="宋体" w:hAnsi="宋体" w:cs="宋体"/>
                <w:bCs/>
                <w:szCs w:val="21"/>
              </w:rPr>
              <w:t>进样口</w:t>
            </w:r>
            <w:r>
              <w:rPr>
                <w:rFonts w:ascii="宋体" w:hAnsi="宋体" w:cs="宋体"/>
                <w:bCs/>
                <w:szCs w:val="21"/>
              </w:rPr>
              <w:t xml:space="preserve">: </w:t>
            </w:r>
            <w:r>
              <w:rPr>
                <w:rFonts w:hint="eastAsia" w:ascii="宋体" w:hAnsi="宋体" w:cs="宋体"/>
                <w:bCs/>
                <w:szCs w:val="21"/>
              </w:rPr>
              <w:t>分流比达到</w:t>
            </w:r>
            <w:r>
              <w:rPr>
                <w:rFonts w:ascii="宋体" w:hAnsi="宋体" w:cs="宋体"/>
                <w:bCs/>
                <w:szCs w:val="21"/>
              </w:rPr>
              <w:t>5000:1</w:t>
            </w:r>
          </w:p>
          <w:p w14:paraId="4D6C0CC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3、灵敏度：1 pg八氟萘进样下信噪比大于10:1</w:t>
            </w:r>
          </w:p>
          <w:p w14:paraId="59DC1D8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4、质量范围：2-800 amu；质量分辨：M/z=502，R&gt;1000；质量稳定性：±0.1 u/24h</w:t>
            </w:r>
          </w:p>
          <w:p w14:paraId="39924864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5、峰面积重复性：RSD小于5%</w:t>
            </w:r>
          </w:p>
          <w:p w14:paraId="2BF6AAC1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6、采集速度：推斥频率不低于10 KHz；采谱累加速度不低于100谱/秒</w:t>
            </w:r>
          </w:p>
          <w:p w14:paraId="4F8C1E2F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7、色谱进样时电离室真空不低于5×10-3 Pa、质量分析器真空不低于1×10-3 Pa</w:t>
            </w:r>
          </w:p>
          <w:p w14:paraId="0DD56FFB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验收要求：</w:t>
            </w:r>
            <w:r>
              <w:rPr>
                <w:rFonts w:hint="eastAsia" w:ascii="宋体" w:hAnsi="宋体"/>
                <w:bCs/>
                <w:szCs w:val="21"/>
              </w:rPr>
              <w:t>按照测试大纲，现场进行测试</w:t>
            </w:r>
          </w:p>
          <w:p w14:paraId="6BF551B0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3D4BBC35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、乙方对其所提供设备的免费保修期为12个月，提供终身有偿维护服务。保修期从全部产品验收合格之日起算，乙方应在接到保修通知后24小时内响应，两个工作日内派技术人员到达现场，72小时内排除故障；需要更换设备或配件的应在7个工作内修复，7个工作日内不能修复的须及时免费提供备用设备。更换后的零部件如尚在整机保修期内，将继续随整机保修。</w:t>
            </w:r>
          </w:p>
          <w:p w14:paraId="25A54F5A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2、保修期届满后，乙方按照保修期内规定提供相应的维修义务。 乙方应长期为甲方优惠供应零部件，并协助甲方维护保养所供设备。</w:t>
            </w:r>
            <w:bookmarkStart w:id="0" w:name="_GoBack"/>
            <w:bookmarkEnd w:id="0"/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955CA8"/>
    <w:multiLevelType w:val="multilevel"/>
    <w:tmpl w:val="52955CA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93C12EB"/>
    <w:rsid w:val="0EB4735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DA20D7D"/>
    <w:rsid w:val="70E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726</Words>
  <Characters>974</Characters>
  <Lines>6</Lines>
  <Paragraphs>1</Paragraphs>
  <TotalTime>0</TotalTime>
  <ScaleCrop>false</ScaleCrop>
  <LinksUpToDate>false</LinksUpToDate>
  <CharactersWithSpaces>1013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2026-03-01T06:32:50Z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