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F685E">
            <w:pPr>
              <w:widowControl/>
              <w:spacing w:line="240" w:lineRule="atLeast"/>
              <w:jc w:val="center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大流量</w:t>
            </w:r>
          </w:p>
          <w:p w14:paraId="393D2AB7">
            <w:pPr>
              <w:widowControl/>
              <w:spacing w:line="240" w:lineRule="atLeas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冷水机</w:t>
            </w:r>
          </w:p>
        </w:tc>
        <w:tc>
          <w:tcPr>
            <w:tcW w:w="5322" w:type="dxa"/>
            <w:vAlign w:val="center"/>
          </w:tcPr>
          <w:p w14:paraId="41CD4C50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此次大流量冷水机1台，设备主体应分为内、外机，包含压缩机、蒸发器、冷凝器、内置水箱、冷冻水泵及干燥过滤器，设备技术要求如下：</w:t>
            </w:r>
          </w:p>
          <w:p w14:paraId="1B3CE10E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设备需为分体式冷水机，整机功率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20kW；</w:t>
            </w:r>
          </w:p>
          <w:p w14:paraId="09928FB6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设备温度控制精度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±1℃；</w:t>
            </w:r>
          </w:p>
          <w:p w14:paraId="569FE061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设备制冷量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70000kcal/h；</w:t>
            </w:r>
          </w:p>
          <w:p w14:paraId="4E6FC9F8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输出冷却水水温</w:t>
            </w:r>
            <w:r>
              <w:rPr>
                <w:rFonts w:ascii="宋体" w:hAnsi="宋体"/>
                <w:sz w:val="24"/>
                <w:szCs w:val="24"/>
              </w:rPr>
              <w:t>≤</w:t>
            </w:r>
            <w:r>
              <w:rPr>
                <w:sz w:val="24"/>
                <w:szCs w:val="24"/>
              </w:rPr>
              <w:t>20℃，流量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500L/min，水压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0.5MPa；</w:t>
            </w:r>
          </w:p>
          <w:p w14:paraId="31A41C0A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设备水泵最大流量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30m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>/h，最大扬程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30m；</w:t>
            </w:r>
          </w:p>
          <w:p w14:paraId="7FD48984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设备需配置涡旋式压缩机，数量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2台；</w:t>
            </w:r>
          </w:p>
          <w:p w14:paraId="17AC7DA6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设备需配备风冷式冷凝器，冷却风量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30000m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>/h；</w:t>
            </w:r>
          </w:p>
          <w:p w14:paraId="4F5D03F9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设备配备盘管式蒸发器，外循环水流量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15m</w:t>
            </w:r>
            <w:r>
              <w:rPr>
                <w:sz w:val="24"/>
                <w:szCs w:val="24"/>
                <w:vertAlign w:val="superscript"/>
              </w:rPr>
              <w:t>3</w:t>
            </w:r>
            <w:r>
              <w:rPr>
                <w:sz w:val="24"/>
                <w:szCs w:val="24"/>
              </w:rPr>
              <w:t>/h；</w:t>
            </w:r>
          </w:p>
          <w:p w14:paraId="3E6E49EA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设备内置水箱容量</w:t>
            </w:r>
            <w:r>
              <w:rPr>
                <w:rFonts w:ascii="宋体" w:hAnsi="宋体"/>
                <w:sz w:val="24"/>
                <w:szCs w:val="24"/>
              </w:rPr>
              <w:t>≥</w:t>
            </w:r>
            <w:r>
              <w:rPr>
                <w:sz w:val="24"/>
                <w:szCs w:val="24"/>
              </w:rPr>
              <w:t>300L；</w:t>
            </w:r>
          </w:p>
          <w:p w14:paraId="7D732FB8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10、设备需配备氧化铝分子筛过滤干燥器；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461A079E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合同签订后，支付合同总价的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0%；货物到达买家指定地点并经买家验收合格后，支付合同总价的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0%。</w:t>
            </w:r>
          </w:p>
          <w:p w14:paraId="4C4F6F53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/>
                <w:kern w:val="0"/>
                <w:sz w:val="24"/>
                <w:szCs w:val="24"/>
              </w:rPr>
              <w:t>（1）设备交付时，供应商须提供设备合格证明；（2）设备到达指定现场后，安装及调试工作应由供应商完成。</w:t>
            </w:r>
          </w:p>
          <w:p w14:paraId="3C2496DC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kern w:val="0"/>
                <w:sz w:val="24"/>
                <w:szCs w:val="24"/>
              </w:rPr>
              <w:t>供应商提供不少于1年的质保服务，</w:t>
            </w:r>
            <w:r>
              <w:rPr>
                <w:rFonts w:hint="eastAsia"/>
                <w:kern w:val="0"/>
                <w:sz w:val="24"/>
                <w:szCs w:val="24"/>
              </w:rPr>
              <w:t>质保期内发生质量问题的，乙方应自接到甲方异议之日起3个工作日内响应并提出有效解决方案，所产生的费用由乙方承担；乙方需要</w:t>
            </w:r>
            <w:r>
              <w:rPr>
                <w:kern w:val="0"/>
                <w:sz w:val="24"/>
                <w:szCs w:val="24"/>
              </w:rPr>
              <w:t>提供相应技术支持</w:t>
            </w:r>
            <w:r>
              <w:rPr>
                <w:rFonts w:hint="eastAsia"/>
                <w:kern w:val="0"/>
                <w:sz w:val="24"/>
                <w:szCs w:val="24"/>
              </w:rPr>
              <w:t>，确保甲方能够及时有效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地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  <w:szCs w:val="24"/>
              </w:rPr>
              <w:t>使用设备。</w:t>
            </w:r>
          </w:p>
          <w:p w14:paraId="1840BAE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31B539E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包装：包装必须符合所采用的运输方式的要求，并要便于各环节有关人员进行操作；在保证包装牢固的前提下节省费用。货物固定在箱体内，避免内部晃动。在包装箱上四个侧面的两个较大面上分别标记向上、怕湿、禁止翻转和吊装位置等符号，应清晰、可长期保持。清晰注明收货地址、收货人和发货地址，合同号、重量、包装箱的承重点等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4D0C580A"/>
    <w:p w14:paraId="3336640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B6324"/>
    <w:multiLevelType w:val="multilevel"/>
    <w:tmpl w:val="358B63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E3467"/>
    <w:rsid w:val="177F687B"/>
    <w:rsid w:val="4C0E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755</Characters>
  <Lines>0</Lines>
  <Paragraphs>0</Paragraphs>
  <TotalTime>0</TotalTime>
  <ScaleCrop>false</ScaleCrop>
  <LinksUpToDate>false</LinksUpToDate>
  <CharactersWithSpaces>757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2026-06-12T02:24:00Z</dcterms:created>
  <dc:creator>DELL</dc:creator>
  <cp:lastModifiedBy>DELL</cp:lastModifiedBy>
  <dcterms:modified xsi:type="dcterms:W3CDTF">2026-06-12T02:35:45Z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2050C313CDC3467E8DA70C315532339A_11</vt:lpwstr>
  </property>
  <property fmtid="{D5CDD505-2E9C-101B-9397-08002B2CF9AE}" pid="4" name="KSOTemplateDocerSaveRecord">
    <vt:lpwstr>eyJoZGlkIjoiN2RmNGQ2MDc0ZGFiNmIyNjNmMmJiNzcxMzg1OWQzY2YifQ==</vt:lpwstr>
  </property>
</Properties>
</file>