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主体建筑天桥减振阻尼系统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C7B6CDE">
            <w:pPr>
              <w:tabs>
                <w:tab w:val="left" w:pos="6915"/>
              </w:tabs>
              <w:ind w:firstLine="420" w:firstLineChars="200"/>
              <w:jc w:val="left"/>
              <w:rPr>
                <w:rFonts w:hint="eastAsia"/>
                <w:bCs/>
                <w:szCs w:val="21"/>
                <w:highlight w:val="none"/>
              </w:rPr>
            </w:pPr>
            <w:r>
              <w:rPr>
                <w:rFonts w:hint="eastAsia"/>
                <w:bCs/>
                <w:szCs w:val="21"/>
                <w:highlight w:val="none"/>
              </w:rPr>
              <w:t>为满足主体建筑微振动</w:t>
            </w:r>
            <w:r>
              <w:rPr>
                <w:rFonts w:hint="eastAsia"/>
                <w:bCs/>
                <w:szCs w:val="21"/>
                <w:highlight w:val="none"/>
                <w:lang w:val="en-US" w:eastAsia="zh-CN"/>
              </w:rPr>
              <w:t>控制</w:t>
            </w:r>
            <w:r>
              <w:rPr>
                <w:rFonts w:hint="eastAsia"/>
                <w:bCs/>
                <w:szCs w:val="21"/>
                <w:highlight w:val="none"/>
              </w:rPr>
              <w:t>的技术要求，</w:t>
            </w:r>
            <w:r>
              <w:rPr>
                <w:rFonts w:hint="eastAsia"/>
                <w:bCs/>
                <w:szCs w:val="21"/>
                <w:highlight w:val="none"/>
                <w:lang w:val="en-US" w:eastAsia="zh-CN"/>
              </w:rPr>
              <w:t>人行天桥</w:t>
            </w:r>
            <w:r>
              <w:rPr>
                <w:rFonts w:hint="eastAsia"/>
                <w:bCs/>
                <w:szCs w:val="21"/>
                <w:highlight w:val="none"/>
              </w:rPr>
              <w:t>需采购</w:t>
            </w:r>
            <w:r>
              <w:rPr>
                <w:rFonts w:hint="eastAsia"/>
                <w:bCs/>
                <w:szCs w:val="21"/>
                <w:highlight w:val="none"/>
                <w:lang w:val="en-US" w:eastAsia="zh-CN"/>
              </w:rPr>
              <w:t>并安装</w:t>
            </w:r>
            <w:r>
              <w:rPr>
                <w:rFonts w:hint="eastAsia"/>
                <w:bCs/>
                <w:szCs w:val="21"/>
                <w:highlight w:val="none"/>
              </w:rPr>
              <w:t>2套减振阻尼系统，</w:t>
            </w:r>
            <w:r>
              <w:rPr>
                <w:rFonts w:hint="eastAsia"/>
                <w:bCs/>
                <w:szCs w:val="21"/>
                <w:highlight w:val="none"/>
                <w:lang w:val="en-US" w:eastAsia="zh-CN"/>
              </w:rPr>
              <w:t>每套</w:t>
            </w:r>
            <w:r>
              <w:rPr>
                <w:rFonts w:hint="eastAsia"/>
                <w:bCs/>
                <w:szCs w:val="21"/>
                <w:highlight w:val="none"/>
              </w:rPr>
              <w:t>包括</w:t>
            </w:r>
            <w:r>
              <w:rPr>
                <w:rFonts w:hint="eastAsia"/>
                <w:bCs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/>
                <w:bCs/>
                <w:szCs w:val="21"/>
                <w:highlight w:val="none"/>
              </w:rPr>
              <w:t>个调频质量阻尼器（TMD）和</w:t>
            </w:r>
            <w:r>
              <w:rPr>
                <w:rFonts w:hint="eastAsia"/>
                <w:bCs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/>
                <w:bCs/>
                <w:szCs w:val="21"/>
                <w:highlight w:val="none"/>
              </w:rPr>
              <w:t>个弹簧阻尼支座</w:t>
            </w:r>
            <w:r>
              <w:rPr>
                <w:rFonts w:hint="eastAsia"/>
                <w:bCs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/>
                <w:bCs/>
                <w:szCs w:val="21"/>
                <w:highlight w:val="none"/>
              </w:rPr>
              <w:t>用于</w:t>
            </w:r>
            <w:r>
              <w:rPr>
                <w:rFonts w:hint="eastAsia"/>
                <w:bCs/>
                <w:szCs w:val="21"/>
                <w:highlight w:val="none"/>
                <w:lang w:val="en-US" w:eastAsia="zh-CN"/>
              </w:rPr>
              <w:t>减少人行天桥振动对线站大厅和储存环隧道地面的影响</w:t>
            </w:r>
            <w:r>
              <w:rPr>
                <w:rFonts w:hint="eastAsia"/>
                <w:bCs/>
                <w:szCs w:val="21"/>
                <w:highlight w:val="none"/>
              </w:rPr>
              <w:t>。</w:t>
            </w:r>
          </w:p>
          <w:p w14:paraId="4329B291">
            <w:pPr>
              <w:tabs>
                <w:tab w:val="left" w:pos="6915"/>
              </w:tabs>
              <w:ind w:firstLine="420" w:firstLineChars="200"/>
              <w:jc w:val="left"/>
              <w:rPr>
                <w:rFonts w:hint="eastAsia" w:eastAsia="宋体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szCs w:val="21"/>
                <w:highlight w:val="none"/>
                <w:lang w:val="en-US" w:eastAsia="zh-CN"/>
              </w:rPr>
              <w:t>本次拟采购的</w:t>
            </w:r>
            <w:r>
              <w:rPr>
                <w:rFonts w:hint="eastAsia"/>
                <w:bCs/>
                <w:szCs w:val="21"/>
                <w:highlight w:val="none"/>
              </w:rPr>
              <w:t>减振阻尼系统</w:t>
            </w:r>
            <w:r>
              <w:rPr>
                <w:rFonts w:hint="eastAsia"/>
                <w:bCs/>
                <w:szCs w:val="21"/>
                <w:highlight w:val="none"/>
                <w:lang w:val="en-US" w:eastAsia="zh-CN"/>
              </w:rPr>
              <w:t>包括：</w:t>
            </w:r>
          </w:p>
          <w:p w14:paraId="238A78AF">
            <w:pPr>
              <w:numPr>
                <w:ilvl w:val="0"/>
                <w:numId w:val="1"/>
              </w:numPr>
              <w:tabs>
                <w:tab w:val="left" w:pos="6915"/>
              </w:tabs>
              <w:ind w:left="0" w:leftChars="0" w:firstLine="0" w:firstLineChars="0"/>
              <w:jc w:val="left"/>
              <w:rPr>
                <w:rFonts w:hint="eastAsia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szCs w:val="21"/>
                <w:highlight w:val="none"/>
              </w:rPr>
              <w:t>调频质量阻尼器（TMD）</w:t>
            </w:r>
            <w:r>
              <w:rPr>
                <w:rFonts w:hint="eastAsia"/>
                <w:bCs/>
                <w:szCs w:val="21"/>
                <w:highlight w:val="none"/>
                <w:lang w:val="en-US" w:eastAsia="zh-CN"/>
              </w:rPr>
              <w:t>:</w:t>
            </w:r>
          </w:p>
          <w:p w14:paraId="3AD15177">
            <w:pPr>
              <w:numPr>
                <w:numId w:val="0"/>
              </w:numPr>
              <w:tabs>
                <w:tab w:val="left" w:pos="6915"/>
              </w:tabs>
              <w:ind w:leftChars="0"/>
              <w:jc w:val="left"/>
              <w:rPr>
                <w:rFonts w:hint="eastAsia"/>
                <w:bCs/>
                <w:szCs w:val="21"/>
                <w:highlight w:val="none"/>
              </w:rPr>
            </w:pPr>
            <w:r>
              <w:rPr>
                <w:rFonts w:hint="default"/>
                <w:bCs/>
                <w:szCs w:val="21"/>
                <w:highlight w:val="none"/>
              </w:rPr>
              <w:t>①</w:t>
            </w:r>
            <w:r>
              <w:rPr>
                <w:rFonts w:hint="eastAsia"/>
                <w:bCs/>
                <w:szCs w:val="21"/>
                <w:highlight w:val="none"/>
                <w:lang w:val="en-US" w:eastAsia="zh-CN"/>
              </w:rPr>
              <w:t>数量4个；</w:t>
            </w:r>
          </w:p>
          <w:p w14:paraId="6587B861">
            <w:pPr>
              <w:numPr>
                <w:ilvl w:val="2"/>
                <w:numId w:val="0"/>
              </w:numPr>
              <w:tabs>
                <w:tab w:val="left" w:pos="6915"/>
              </w:tabs>
              <w:jc w:val="left"/>
              <w:rPr>
                <w:rFonts w:hint="eastAsia"/>
                <w:bCs/>
                <w:szCs w:val="21"/>
                <w:highlight w:val="none"/>
                <w:lang w:eastAsia="zh-CN"/>
              </w:rPr>
            </w:pPr>
            <w:r>
              <w:rPr>
                <w:rFonts w:hint="default"/>
                <w:bCs/>
                <w:szCs w:val="21"/>
                <w:highlight w:val="none"/>
                <w:lang w:val="en-US" w:eastAsia="zh-CN"/>
              </w:rPr>
              <w:t>②</w:t>
            </w:r>
            <w:r>
              <w:rPr>
                <w:rFonts w:hint="eastAsia"/>
                <w:bCs/>
                <w:szCs w:val="21"/>
                <w:highlight w:val="none"/>
              </w:rPr>
              <w:t>单个重量1000kg±</w:t>
            </w:r>
            <w:r>
              <w:rPr>
                <w:rFonts w:hint="eastAsia"/>
                <w:bCs/>
                <w:szCs w:val="21"/>
                <w:highlight w:val="none"/>
                <w:lang w:val="en-US" w:eastAsia="zh-CN"/>
              </w:rPr>
              <w:t>100</w:t>
            </w:r>
            <w:r>
              <w:rPr>
                <w:rFonts w:hint="eastAsia"/>
                <w:bCs/>
                <w:szCs w:val="21"/>
                <w:highlight w:val="none"/>
              </w:rPr>
              <w:t>kg</w:t>
            </w:r>
            <w:r>
              <w:rPr>
                <w:rFonts w:hint="eastAsia"/>
                <w:bCs/>
                <w:szCs w:val="21"/>
                <w:highlight w:val="none"/>
                <w:lang w:eastAsia="zh-CN"/>
              </w:rPr>
              <w:t>；</w:t>
            </w:r>
          </w:p>
          <w:p w14:paraId="71ADAFC8">
            <w:pPr>
              <w:numPr>
                <w:ilvl w:val="2"/>
                <w:numId w:val="0"/>
              </w:numPr>
              <w:tabs>
                <w:tab w:val="left" w:pos="6915"/>
              </w:tabs>
              <w:jc w:val="left"/>
              <w:rPr>
                <w:rFonts w:hint="eastAsia"/>
                <w:bCs/>
                <w:szCs w:val="21"/>
                <w:highlight w:val="none"/>
              </w:rPr>
            </w:pPr>
            <w:r>
              <w:rPr>
                <w:rFonts w:hint="default"/>
                <w:bCs/>
                <w:szCs w:val="21"/>
                <w:highlight w:val="none"/>
                <w:lang w:eastAsia="zh-CN"/>
              </w:rPr>
              <w:t>③</w:t>
            </w:r>
            <w:r>
              <w:rPr>
                <w:rFonts w:hint="eastAsia"/>
                <w:bCs/>
                <w:szCs w:val="21"/>
                <w:highlight w:val="none"/>
              </w:rPr>
              <w:t>固有频率3.6</w:t>
            </w:r>
            <w:r>
              <w:rPr>
                <w:rFonts w:hint="eastAsia"/>
                <w:bCs/>
                <w:szCs w:val="21"/>
                <w:highlight w:val="none"/>
                <w:lang w:val="en-US" w:eastAsia="zh-CN"/>
              </w:rPr>
              <w:t>H</w:t>
            </w:r>
            <w:r>
              <w:rPr>
                <w:rFonts w:hint="eastAsia"/>
                <w:bCs/>
                <w:szCs w:val="21"/>
                <w:highlight w:val="none"/>
              </w:rPr>
              <w:t>z±</w:t>
            </w:r>
            <w:r>
              <w:rPr>
                <w:rFonts w:hint="eastAsia"/>
                <w:bCs/>
                <w:szCs w:val="21"/>
                <w:highlight w:val="none"/>
                <w:lang w:val="en-US" w:eastAsia="zh-CN"/>
              </w:rPr>
              <w:t>0.36H</w:t>
            </w:r>
            <w:r>
              <w:rPr>
                <w:rFonts w:hint="eastAsia"/>
                <w:bCs/>
                <w:szCs w:val="21"/>
                <w:highlight w:val="none"/>
              </w:rPr>
              <w:t>z</w:t>
            </w:r>
            <w:r>
              <w:rPr>
                <w:rFonts w:hint="eastAsia"/>
                <w:bCs/>
                <w:szCs w:val="21"/>
                <w:highlight w:val="none"/>
                <w:lang w:eastAsia="zh-CN"/>
              </w:rPr>
              <w:t>；</w:t>
            </w:r>
          </w:p>
          <w:p w14:paraId="50E0E475">
            <w:pPr>
              <w:numPr>
                <w:ilvl w:val="0"/>
                <w:numId w:val="0"/>
              </w:numPr>
              <w:tabs>
                <w:tab w:val="left" w:pos="6915"/>
              </w:tabs>
              <w:jc w:val="left"/>
              <w:rPr>
                <w:rFonts w:hint="eastAsia"/>
                <w:bCs/>
                <w:szCs w:val="21"/>
                <w:highlight w:val="none"/>
              </w:rPr>
            </w:pPr>
            <w:r>
              <w:rPr>
                <w:rFonts w:hint="eastAsia"/>
                <w:bCs/>
                <w:szCs w:val="21"/>
                <w:highlight w:val="none"/>
                <w:lang w:eastAsia="zh-CN"/>
              </w:rPr>
              <w:t>④</w:t>
            </w:r>
            <w:r>
              <w:rPr>
                <w:rFonts w:hint="eastAsia"/>
                <w:bCs/>
                <w:szCs w:val="21"/>
                <w:highlight w:val="none"/>
              </w:rPr>
              <w:t>阻尼比6%±</w:t>
            </w:r>
            <w:r>
              <w:rPr>
                <w:rFonts w:hint="eastAsia"/>
                <w:bCs/>
                <w:szCs w:val="21"/>
                <w:highlight w:val="none"/>
                <w:lang w:val="en-US" w:eastAsia="zh-CN"/>
              </w:rPr>
              <w:t>0.6</w:t>
            </w:r>
            <w:r>
              <w:rPr>
                <w:rFonts w:hint="eastAsia"/>
                <w:bCs/>
                <w:szCs w:val="21"/>
                <w:highlight w:val="none"/>
              </w:rPr>
              <w:t>%。</w:t>
            </w:r>
          </w:p>
          <w:p w14:paraId="1B177549">
            <w:pPr>
              <w:numPr>
                <w:ilvl w:val="0"/>
                <w:numId w:val="2"/>
              </w:numPr>
              <w:tabs>
                <w:tab w:val="left" w:pos="6915"/>
              </w:tabs>
              <w:ind w:left="0" w:leftChars="0" w:firstLine="0" w:firstLineChars="0"/>
              <w:jc w:val="left"/>
              <w:rPr>
                <w:rFonts w:hint="eastAsia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szCs w:val="21"/>
                <w:highlight w:val="none"/>
              </w:rPr>
              <w:t>弹簧阻尼支座</w:t>
            </w:r>
            <w:r>
              <w:rPr>
                <w:rFonts w:hint="eastAsia"/>
                <w:bCs/>
                <w:szCs w:val="21"/>
                <w:highlight w:val="none"/>
                <w:lang w:val="en-US" w:eastAsia="zh-CN"/>
              </w:rPr>
              <w:t xml:space="preserve">: </w:t>
            </w:r>
          </w:p>
          <w:p w14:paraId="64321267">
            <w:pPr>
              <w:numPr>
                <w:numId w:val="0"/>
              </w:numPr>
              <w:tabs>
                <w:tab w:val="left" w:pos="6915"/>
              </w:tabs>
              <w:ind w:leftChars="0"/>
              <w:jc w:val="left"/>
              <w:rPr>
                <w:rFonts w:hint="eastAsia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default"/>
                <w:bCs/>
                <w:szCs w:val="21"/>
                <w:highlight w:val="none"/>
              </w:rPr>
              <w:t>①</w:t>
            </w:r>
            <w:r>
              <w:rPr>
                <w:rFonts w:hint="eastAsia"/>
                <w:bCs/>
                <w:szCs w:val="21"/>
                <w:highlight w:val="none"/>
                <w:lang w:val="en-US" w:eastAsia="zh-CN"/>
              </w:rPr>
              <w:t>数量4个；</w:t>
            </w:r>
          </w:p>
          <w:p w14:paraId="0F59B441">
            <w:pPr>
              <w:numPr>
                <w:ilvl w:val="0"/>
                <w:numId w:val="0"/>
              </w:numPr>
              <w:tabs>
                <w:tab w:val="left" w:pos="6915"/>
              </w:tabs>
              <w:jc w:val="left"/>
              <w:rPr>
                <w:bCs/>
                <w:szCs w:val="21"/>
                <w:highlight w:val="none"/>
              </w:rPr>
            </w:pPr>
            <w:r>
              <w:rPr>
                <w:rFonts w:hint="default"/>
                <w:bCs/>
                <w:szCs w:val="21"/>
                <w:highlight w:val="none"/>
                <w:lang w:val="en-US" w:eastAsia="zh-CN"/>
              </w:rPr>
              <w:t>②</w:t>
            </w:r>
            <w:r>
              <w:rPr>
                <w:rFonts w:hint="eastAsia"/>
                <w:bCs/>
                <w:szCs w:val="21"/>
                <w:highlight w:val="none"/>
              </w:rPr>
              <w:t>支座为长方形钢弹簧阻尼支座，单个</w:t>
            </w:r>
            <w:r>
              <w:rPr>
                <w:rFonts w:hint="eastAsia"/>
                <w:bCs/>
                <w:szCs w:val="21"/>
                <w:highlight w:val="none"/>
                <w:lang w:val="en-US" w:eastAsia="zh-CN"/>
              </w:rPr>
              <w:t>支座</w:t>
            </w:r>
            <w:r>
              <w:rPr>
                <w:rFonts w:hint="eastAsia"/>
                <w:bCs/>
                <w:szCs w:val="21"/>
                <w:highlight w:val="none"/>
              </w:rPr>
              <w:t>竖向设计承载力</w:t>
            </w:r>
            <w:r>
              <w:rPr>
                <w:rFonts w:hint="eastAsia"/>
                <w:bCs/>
                <w:szCs w:val="21"/>
                <w:highlight w:val="none"/>
                <w:lang w:val="en-US" w:eastAsia="zh-CN"/>
              </w:rPr>
              <w:t>不小于</w:t>
            </w:r>
            <w:r>
              <w:rPr>
                <w:rFonts w:hint="eastAsia"/>
                <w:bCs/>
                <w:szCs w:val="21"/>
                <w:highlight w:val="none"/>
              </w:rPr>
              <w:t>340kN；</w:t>
            </w:r>
          </w:p>
          <w:p w14:paraId="78E58F10">
            <w:pPr>
              <w:numPr>
                <w:ilvl w:val="0"/>
                <w:numId w:val="0"/>
              </w:numPr>
              <w:tabs>
                <w:tab w:val="left" w:pos="6915"/>
              </w:tabs>
              <w:jc w:val="left"/>
              <w:rPr>
                <w:rFonts w:hint="eastAsia"/>
                <w:bCs/>
                <w:szCs w:val="21"/>
                <w:highlight w:val="none"/>
              </w:rPr>
            </w:pPr>
            <w:r>
              <w:rPr>
                <w:rFonts w:hint="default"/>
                <w:bCs/>
                <w:szCs w:val="21"/>
                <w:highlight w:val="none"/>
                <w:lang w:eastAsia="zh-CN"/>
              </w:rPr>
              <w:t>③</w:t>
            </w:r>
            <w:r>
              <w:rPr>
                <w:rFonts w:hint="eastAsia"/>
                <w:bCs/>
                <w:szCs w:val="21"/>
                <w:highlight w:val="none"/>
              </w:rPr>
              <w:t>单个支座</w:t>
            </w:r>
            <w:r>
              <w:rPr>
                <w:rFonts w:hint="eastAsia"/>
                <w:bCs/>
                <w:szCs w:val="21"/>
                <w:highlight w:val="none"/>
                <w:lang w:val="en-US" w:eastAsia="zh-CN"/>
              </w:rPr>
              <w:t>的</w:t>
            </w:r>
            <w:r>
              <w:rPr>
                <w:rFonts w:hint="eastAsia"/>
                <w:bCs/>
                <w:szCs w:val="21"/>
                <w:highlight w:val="none"/>
              </w:rPr>
              <w:t>总刚度 20604N/mm±</w:t>
            </w:r>
            <w:r>
              <w:rPr>
                <w:rFonts w:hint="eastAsia"/>
                <w:bCs/>
                <w:szCs w:val="21"/>
                <w:highlight w:val="none"/>
                <w:lang w:val="en-US" w:eastAsia="zh-CN"/>
              </w:rPr>
              <w:t>2060</w:t>
            </w:r>
            <w:r>
              <w:rPr>
                <w:rFonts w:hint="eastAsia"/>
                <w:bCs/>
                <w:szCs w:val="21"/>
                <w:highlight w:val="none"/>
              </w:rPr>
              <w:t>N/mm；</w:t>
            </w:r>
          </w:p>
          <w:p w14:paraId="250D1EF6">
            <w:pPr>
              <w:numPr>
                <w:ilvl w:val="0"/>
                <w:numId w:val="0"/>
              </w:numPr>
              <w:tabs>
                <w:tab w:val="left" w:pos="6915"/>
              </w:tabs>
              <w:jc w:val="left"/>
              <w:rPr>
                <w:rFonts w:hint="eastAsia"/>
                <w:bCs/>
                <w:szCs w:val="21"/>
                <w:highlight w:val="yellow"/>
                <w:lang w:eastAsia="zh-CN"/>
              </w:rPr>
            </w:pPr>
            <w:r>
              <w:rPr>
                <w:rFonts w:hint="eastAsia"/>
                <w:bCs/>
                <w:szCs w:val="21"/>
                <w:highlight w:val="none"/>
                <w:lang w:eastAsia="zh-CN"/>
              </w:rPr>
              <w:t>④</w:t>
            </w:r>
            <w:r>
              <w:rPr>
                <w:rFonts w:hint="eastAsia"/>
                <w:bCs/>
                <w:szCs w:val="21"/>
                <w:highlight w:val="none"/>
              </w:rPr>
              <w:t>阻尼比</w:t>
            </w:r>
            <w:r>
              <w:rPr>
                <w:rFonts w:hint="eastAsia"/>
                <w:bCs/>
                <w:szCs w:val="21"/>
                <w:highlight w:val="none"/>
                <w:lang w:val="en-US" w:eastAsia="zh-CN"/>
              </w:rPr>
              <w:t>8</w:t>
            </w:r>
            <w:r>
              <w:rPr>
                <w:rFonts w:hint="eastAsia"/>
                <w:bCs/>
                <w:szCs w:val="21"/>
                <w:highlight w:val="none"/>
              </w:rPr>
              <w:t>%±</w:t>
            </w:r>
            <w:r>
              <w:rPr>
                <w:rFonts w:hint="eastAsia"/>
                <w:bCs/>
                <w:szCs w:val="21"/>
                <w:highlight w:val="none"/>
                <w:lang w:val="en-US" w:eastAsia="zh-CN"/>
              </w:rPr>
              <w:t>0.8</w:t>
            </w:r>
            <w:r>
              <w:rPr>
                <w:rFonts w:hint="eastAsia"/>
                <w:bCs/>
                <w:szCs w:val="21"/>
                <w:highlight w:val="none"/>
              </w:rPr>
              <w:t>%</w:t>
            </w:r>
            <w:r>
              <w:rPr>
                <w:rFonts w:hint="eastAsia"/>
                <w:bCs/>
                <w:szCs w:val="21"/>
                <w:highlight w:val="none"/>
                <w:lang w:eastAsia="zh-CN"/>
              </w:rPr>
              <w:t>；</w:t>
            </w:r>
          </w:p>
          <w:p w14:paraId="3EE0D450">
            <w:pPr>
              <w:numPr>
                <w:ilvl w:val="0"/>
                <w:numId w:val="0"/>
              </w:numPr>
              <w:tabs>
                <w:tab w:val="left" w:pos="6915"/>
              </w:tabs>
              <w:jc w:val="left"/>
              <w:rPr>
                <w:rFonts w:hint="eastAsia"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Cs w:val="21"/>
                <w:highlight w:val="none"/>
                <w:lang w:eastAsia="zh-CN"/>
              </w:rPr>
              <w:t>⑤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接口及支座尺寸详见图1，仅供参考，需根据现场实测情况调整。</w:t>
            </w:r>
          </w:p>
          <w:p w14:paraId="0F96BCFE">
            <w:pPr>
              <w:jc w:val="center"/>
              <w:rPr>
                <w:highlight w:val="none"/>
              </w:rPr>
            </w:pPr>
            <w:r>
              <w:rPr>
                <w:highlight w:val="none"/>
              </w:rPr>
              <w:drawing>
                <wp:inline distT="0" distB="0" distL="114300" distR="114300">
                  <wp:extent cx="2860040" cy="1698625"/>
                  <wp:effectExtent l="0" t="0" r="16510" b="1587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0040" cy="169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4A17E2">
            <w:pPr>
              <w:ind w:firstLine="420" w:firstLineChars="200"/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  <w:lang w:val="en-US" w:eastAsia="zh-CN"/>
              </w:rPr>
              <w:t xml:space="preserve">图1 </w:t>
            </w:r>
            <w:r>
              <w:rPr>
                <w:rFonts w:hint="eastAsia"/>
                <w:highlight w:val="none"/>
              </w:rPr>
              <w:t>弹簧支座</w:t>
            </w:r>
            <w:r>
              <w:rPr>
                <w:rFonts w:hint="eastAsia"/>
                <w:highlight w:val="none"/>
                <w:lang w:val="en-US" w:eastAsia="zh-CN"/>
              </w:rPr>
              <w:t>尺寸示意</w:t>
            </w:r>
            <w:r>
              <w:rPr>
                <w:rFonts w:hint="eastAsia"/>
                <w:highlight w:val="none"/>
              </w:rPr>
              <w:t>图</w:t>
            </w:r>
          </w:p>
          <w:p w14:paraId="6A4BC6F7">
            <w:pPr>
              <w:pStyle w:val="11"/>
              <w:numPr>
                <w:ilvl w:val="0"/>
                <w:numId w:val="0"/>
              </w:numPr>
              <w:ind w:left="360" w:leftChars="0" w:hanging="360" w:firstLineChars="0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4B8D4">
            <w:pPr>
              <w:numPr>
                <w:ilvl w:val="0"/>
                <w:numId w:val="0"/>
              </w:numPr>
              <w:tabs>
                <w:tab w:val="left" w:pos="6915"/>
              </w:tabs>
              <w:jc w:val="left"/>
              <w:rPr>
                <w:rFonts w:hint="eastAsia" w:ascii="宋体" w:hAnsi="宋体" w:eastAsiaTheme="minorEastAsia"/>
                <w:b w:val="0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ascii="宋体" w:hAnsi="宋体"/>
                <w:b/>
                <w:bCs w:val="0"/>
                <w:szCs w:val="21"/>
                <w:highlight w:val="none"/>
              </w:rPr>
              <w:t>交货期</w:t>
            </w:r>
            <w:r>
              <w:rPr>
                <w:rFonts w:hint="eastAsia" w:ascii="宋体" w:hAnsi="宋体"/>
                <w:b/>
                <w:bCs w:val="0"/>
                <w:szCs w:val="21"/>
                <w:highlight w:val="none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  <w:highlight w:val="none"/>
                <w:lang w:val="en-US" w:eastAsia="zh-CN"/>
              </w:rPr>
              <w:t>合同签订后</w:t>
            </w:r>
            <w:r>
              <w:rPr>
                <w:rFonts w:ascii="宋体" w:hAnsi="宋体"/>
                <w:b w:val="0"/>
                <w:bCs/>
                <w:szCs w:val="21"/>
                <w:highlight w:val="none"/>
              </w:rPr>
              <w:t>4</w:t>
            </w:r>
            <w:r>
              <w:rPr>
                <w:rFonts w:hint="eastAsia" w:ascii="宋体" w:hAnsi="宋体"/>
                <w:b w:val="0"/>
                <w:bCs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/>
                <w:b w:val="0"/>
                <w:bCs/>
                <w:szCs w:val="21"/>
                <w:highlight w:val="none"/>
              </w:rPr>
              <w:t>天</w:t>
            </w:r>
            <w:r>
              <w:rPr>
                <w:rFonts w:hint="eastAsia" w:ascii="宋体" w:hAnsi="宋体"/>
                <w:b w:val="0"/>
                <w:bCs/>
                <w:szCs w:val="21"/>
                <w:highlight w:val="none"/>
                <w:lang w:val="en-US" w:eastAsia="zh-CN"/>
              </w:rPr>
              <w:t>内</w:t>
            </w:r>
          </w:p>
          <w:p w14:paraId="3F8C3C53">
            <w:pPr>
              <w:numPr>
                <w:ilvl w:val="0"/>
                <w:numId w:val="0"/>
              </w:numPr>
              <w:tabs>
                <w:tab w:val="left" w:pos="6915"/>
              </w:tabs>
              <w:jc w:val="left"/>
              <w:rPr>
                <w:b w:val="0"/>
                <w:bCs/>
                <w:szCs w:val="21"/>
                <w:highlight w:val="none"/>
              </w:rPr>
            </w:pPr>
            <w:r>
              <w:rPr>
                <w:rFonts w:ascii="宋体" w:hAnsi="宋体"/>
                <w:b/>
                <w:bCs w:val="0"/>
                <w:szCs w:val="21"/>
                <w:highlight w:val="none"/>
              </w:rPr>
              <w:t>交付进度</w:t>
            </w:r>
            <w:r>
              <w:rPr>
                <w:rFonts w:hint="eastAsia" w:ascii="宋体" w:hAnsi="宋体"/>
                <w:b/>
                <w:bCs w:val="0"/>
                <w:szCs w:val="21"/>
                <w:highlight w:val="none"/>
              </w:rPr>
              <w:t>：</w:t>
            </w:r>
            <w:r>
              <w:rPr>
                <w:rFonts w:hint="eastAsia"/>
                <w:b w:val="0"/>
                <w:bCs/>
                <w:highlight w:val="none"/>
              </w:rPr>
              <w:t>合同签订后</w:t>
            </w:r>
            <w:r>
              <w:rPr>
                <w:b w:val="0"/>
                <w:bCs/>
                <w:highlight w:val="none"/>
              </w:rPr>
              <w:t>4</w:t>
            </w:r>
            <w:r>
              <w:rPr>
                <w:rFonts w:hint="eastAsia"/>
                <w:b w:val="0"/>
                <w:bCs/>
                <w:highlight w:val="none"/>
                <w:lang w:val="en-US" w:eastAsia="zh-CN"/>
              </w:rPr>
              <w:t>5</w:t>
            </w:r>
            <w:r>
              <w:rPr>
                <w:rFonts w:hint="eastAsia"/>
                <w:b w:val="0"/>
                <w:bCs/>
                <w:szCs w:val="21"/>
                <w:highlight w:val="none"/>
              </w:rPr>
              <w:t>天内全部到货。</w:t>
            </w:r>
          </w:p>
          <w:p w14:paraId="14E06973">
            <w:pPr>
              <w:numPr>
                <w:ilvl w:val="0"/>
                <w:numId w:val="0"/>
              </w:numPr>
              <w:tabs>
                <w:tab w:val="left" w:pos="6915"/>
              </w:tabs>
              <w:jc w:val="left"/>
              <w:rPr>
                <w:b w:val="0"/>
                <w:bCs/>
                <w:szCs w:val="21"/>
                <w:highlight w:val="none"/>
              </w:rPr>
            </w:pPr>
            <w:r>
              <w:rPr>
                <w:rFonts w:ascii="宋体" w:hAnsi="宋体"/>
                <w:b/>
                <w:bCs w:val="0"/>
                <w:szCs w:val="21"/>
                <w:highlight w:val="none"/>
              </w:rPr>
              <w:t>付款方式</w:t>
            </w:r>
            <w:r>
              <w:rPr>
                <w:rFonts w:hint="eastAsia" w:ascii="宋体" w:hAnsi="宋体"/>
                <w:b/>
                <w:bCs w:val="0"/>
                <w:szCs w:val="21"/>
                <w:highlight w:val="none"/>
              </w:rPr>
              <w:t>：</w:t>
            </w:r>
            <w:r>
              <w:rPr>
                <w:rFonts w:hint="eastAsia"/>
                <w:b w:val="0"/>
                <w:bCs/>
                <w:szCs w:val="21"/>
                <w:highlight w:val="none"/>
              </w:rPr>
              <w:t>预付合同总额</w:t>
            </w:r>
            <w:r>
              <w:rPr>
                <w:b w:val="0"/>
                <w:bCs/>
                <w:szCs w:val="21"/>
                <w:highlight w:val="none"/>
              </w:rPr>
              <w:t>5</w:t>
            </w:r>
            <w:r>
              <w:rPr>
                <w:rFonts w:hint="eastAsia"/>
                <w:b w:val="0"/>
                <w:bCs/>
                <w:szCs w:val="21"/>
                <w:highlight w:val="none"/>
              </w:rPr>
              <w:t>0%，全部货物到货后并经甲方验收合格后付清尾款5</w:t>
            </w:r>
            <w:r>
              <w:rPr>
                <w:b w:val="0"/>
                <w:bCs/>
                <w:szCs w:val="21"/>
                <w:highlight w:val="none"/>
              </w:rPr>
              <w:t>0%</w:t>
            </w:r>
            <w:r>
              <w:rPr>
                <w:rFonts w:hint="eastAsia"/>
                <w:b w:val="0"/>
                <w:bCs/>
                <w:szCs w:val="21"/>
                <w:highlight w:val="none"/>
              </w:rPr>
              <w:t>。</w:t>
            </w:r>
          </w:p>
          <w:p w14:paraId="46926F43">
            <w:pPr>
              <w:numPr>
                <w:ilvl w:val="0"/>
                <w:numId w:val="0"/>
              </w:numPr>
              <w:tabs>
                <w:tab w:val="left" w:pos="6915"/>
              </w:tabs>
              <w:jc w:val="left"/>
              <w:rPr>
                <w:b w:val="0"/>
                <w:bCs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 w:val="0"/>
                <w:szCs w:val="21"/>
                <w:highlight w:val="none"/>
              </w:rPr>
              <w:t>验收指标及验收要求：</w:t>
            </w:r>
            <w:r>
              <w:rPr>
                <w:rFonts w:hint="eastAsia"/>
                <w:b w:val="0"/>
                <w:bCs/>
                <w:szCs w:val="21"/>
                <w:highlight w:val="none"/>
              </w:rPr>
              <w:t>验收期间，货物数量、尺寸等与上述要求及图纸不符的，或存在质量问题的，乙方应在接到甲方异议之日起3个工作日内更换合格产品重新交付至甲方指定地点，并承担因此而发生的费用。</w:t>
            </w:r>
          </w:p>
          <w:p w14:paraId="507EB88A">
            <w:pPr>
              <w:numPr>
                <w:ilvl w:val="0"/>
                <w:numId w:val="0"/>
              </w:numPr>
              <w:tabs>
                <w:tab w:val="left" w:pos="6915"/>
              </w:tabs>
              <w:jc w:val="left"/>
              <w:rPr>
                <w:b w:val="0"/>
                <w:bCs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 w:val="0"/>
                <w:szCs w:val="21"/>
                <w:highlight w:val="none"/>
              </w:rPr>
              <w:t>阶段</w:t>
            </w:r>
            <w:r>
              <w:rPr>
                <w:rFonts w:ascii="宋体" w:hAnsi="宋体"/>
                <w:b/>
                <w:bCs w:val="0"/>
                <w:szCs w:val="21"/>
                <w:highlight w:val="none"/>
              </w:rPr>
              <w:t>性检查要求</w:t>
            </w:r>
            <w:r>
              <w:rPr>
                <w:rFonts w:hint="eastAsia" w:ascii="宋体" w:hAnsi="宋体"/>
                <w:b/>
                <w:bCs w:val="0"/>
                <w:szCs w:val="21"/>
                <w:highlight w:val="none"/>
              </w:rPr>
              <w:t>：</w:t>
            </w:r>
            <w:r>
              <w:rPr>
                <w:rFonts w:hint="eastAsia"/>
                <w:b w:val="0"/>
                <w:bCs/>
                <w:highlight w:val="none"/>
              </w:rPr>
              <w:t>合同签订后</w:t>
            </w:r>
            <w:r>
              <w:rPr>
                <w:b w:val="0"/>
                <w:bCs/>
                <w:highlight w:val="none"/>
              </w:rPr>
              <w:t>4</w:t>
            </w:r>
            <w:r>
              <w:rPr>
                <w:rFonts w:hint="eastAsia"/>
                <w:b w:val="0"/>
                <w:bCs/>
                <w:highlight w:val="none"/>
                <w:lang w:val="en-US" w:eastAsia="zh-CN"/>
              </w:rPr>
              <w:t>5</w:t>
            </w:r>
            <w:r>
              <w:rPr>
                <w:rFonts w:hint="eastAsia"/>
                <w:b w:val="0"/>
                <w:bCs/>
                <w:highlight w:val="none"/>
              </w:rPr>
              <w:t>天内，全部</w:t>
            </w:r>
            <w:r>
              <w:rPr>
                <w:rFonts w:hint="eastAsia"/>
                <w:b w:val="0"/>
                <w:bCs/>
                <w:szCs w:val="21"/>
                <w:highlight w:val="none"/>
              </w:rPr>
              <w:t>货物</w:t>
            </w:r>
            <w:r>
              <w:rPr>
                <w:rFonts w:hint="eastAsia"/>
                <w:b w:val="0"/>
                <w:bCs/>
                <w:highlight w:val="none"/>
              </w:rPr>
              <w:t>到货验收合格。</w:t>
            </w:r>
          </w:p>
          <w:p w14:paraId="7D8A35A1">
            <w:pPr>
              <w:numPr>
                <w:ilvl w:val="0"/>
                <w:numId w:val="0"/>
              </w:numPr>
              <w:tabs>
                <w:tab w:val="left" w:pos="6915"/>
              </w:tabs>
              <w:jc w:val="left"/>
              <w:rPr>
                <w:rFonts w:ascii="宋体" w:hAnsi="宋体"/>
                <w:b w:val="0"/>
                <w:bCs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 w:val="0"/>
                <w:szCs w:val="21"/>
                <w:highlight w:val="none"/>
              </w:rPr>
              <w:t>保修</w:t>
            </w:r>
            <w:r>
              <w:rPr>
                <w:rFonts w:ascii="宋体" w:hAnsi="宋体"/>
                <w:b/>
                <w:bCs w:val="0"/>
                <w:szCs w:val="21"/>
                <w:highlight w:val="none"/>
              </w:rPr>
              <w:t>及</w:t>
            </w:r>
            <w:r>
              <w:rPr>
                <w:rFonts w:hint="eastAsia" w:ascii="宋体" w:hAnsi="宋体"/>
                <w:b/>
                <w:bCs w:val="0"/>
                <w:szCs w:val="21"/>
                <w:highlight w:val="none"/>
              </w:rPr>
              <w:t>售后服务：</w:t>
            </w:r>
            <w:r>
              <w:rPr>
                <w:rFonts w:hint="eastAsia"/>
                <w:b w:val="0"/>
                <w:bCs/>
                <w:szCs w:val="21"/>
                <w:highlight w:val="none"/>
              </w:rPr>
              <w:t>产品质保期12个月内，时间自验收合格之日起算。质保期内货物出现质量问题的，乙方应自接到甲方异议之日起5个工作日内以更换等方式解决，因此所发生的费用由乙方承担。乙方提供必要的技术咨询以确保甲方能安全、有效的使用标的货物。</w:t>
            </w:r>
          </w:p>
          <w:p w14:paraId="3B7AD20A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 w:cs="宋体"/>
                <w:b w:val="0"/>
                <w:bCs/>
                <w:szCs w:val="21"/>
                <w:highlight w:val="none"/>
                <w:lang w:bidi="ar"/>
              </w:rPr>
              <w:t>费</w:t>
            </w:r>
            <w:r>
              <w:rPr>
                <w:rFonts w:hint="eastAsia"/>
                <w:b w:val="0"/>
                <w:bCs/>
                <w:szCs w:val="21"/>
                <w:highlight w:val="none"/>
              </w:rPr>
              <w:t>用包括深</w:t>
            </w:r>
            <w:r>
              <w:rPr>
                <w:rFonts w:hint="eastAsia"/>
                <w:b w:val="0"/>
                <w:bCs/>
                <w:color w:val="auto"/>
                <w:szCs w:val="21"/>
                <w:highlight w:val="none"/>
              </w:rPr>
              <w:t>化</w:t>
            </w: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设计</w:t>
            </w:r>
            <w:r>
              <w:rPr>
                <w:rFonts w:hint="eastAsia"/>
                <w:b w:val="0"/>
                <w:bCs/>
                <w:color w:val="auto"/>
                <w:szCs w:val="21"/>
                <w:highlight w:val="none"/>
              </w:rPr>
              <w:t>、检测、运输及现场</w:t>
            </w:r>
            <w:r>
              <w:rPr>
                <w:rFonts w:hint="eastAsia"/>
                <w:b w:val="0"/>
                <w:bCs/>
                <w:color w:val="auto"/>
                <w:szCs w:val="21"/>
                <w:highlight w:val="none"/>
                <w:lang w:val="en-US" w:eastAsia="zh-CN"/>
              </w:rPr>
              <w:t>安装</w:t>
            </w:r>
            <w:r>
              <w:rPr>
                <w:rFonts w:hint="eastAsia"/>
                <w:b w:val="0"/>
                <w:bCs/>
                <w:color w:val="auto"/>
                <w:szCs w:val="21"/>
                <w:highlight w:val="none"/>
              </w:rPr>
              <w:t>指导等；所有产品出厂前需经</w:t>
            </w: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</w:rPr>
              <w:t>检测</w:t>
            </w:r>
            <w:r>
              <w:rPr>
                <w:rFonts w:hint="eastAsia"/>
                <w:b w:val="0"/>
                <w:bCs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/>
                <w:b w:val="0"/>
                <w:bCs/>
                <w:szCs w:val="21"/>
                <w:highlight w:val="none"/>
                <w:lang w:val="en-US" w:eastAsia="zh-CN"/>
              </w:rPr>
              <w:t>到货时提供CMA或CNAS认证的第三方检测报告</w:t>
            </w:r>
            <w:r>
              <w:rPr>
                <w:rFonts w:hint="eastAsia"/>
                <w:b w:val="0"/>
                <w:bCs/>
                <w:szCs w:val="21"/>
                <w:highlight w:val="none"/>
              </w:rPr>
              <w:t>，</w:t>
            </w:r>
            <w:r>
              <w:rPr>
                <w:rFonts w:hint="eastAsia"/>
                <w:b w:val="0"/>
                <w:bCs/>
                <w:szCs w:val="21"/>
                <w:highlight w:val="none"/>
                <w:lang w:val="en-US" w:eastAsia="zh-CN"/>
              </w:rPr>
              <w:t>第三方检测按TMD及</w:t>
            </w:r>
            <w:r>
              <w:rPr>
                <w:rFonts w:hint="eastAsia"/>
                <w:b w:val="0"/>
                <w:bCs/>
                <w:szCs w:val="21"/>
                <w:highlight w:val="none"/>
              </w:rPr>
              <w:t>弹簧阻尼支座</w:t>
            </w:r>
            <w:r>
              <w:rPr>
                <w:rFonts w:hint="eastAsia"/>
                <w:b w:val="0"/>
                <w:bCs/>
                <w:szCs w:val="21"/>
                <w:highlight w:val="none"/>
                <w:lang w:val="en-US" w:eastAsia="zh-CN"/>
              </w:rPr>
              <w:t>各1个进行送检。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40B140"/>
    <w:multiLevelType w:val="singleLevel"/>
    <w:tmpl w:val="E140B140"/>
    <w:lvl w:ilvl="0" w:tentative="0">
      <w:start w:val="1"/>
      <w:numFmt w:val="decimal"/>
      <w:suff w:val="nothing"/>
      <w:lvlText w:val="%1．"/>
      <w:lvlJc w:val="left"/>
    </w:lvl>
  </w:abstractNum>
  <w:abstractNum w:abstractNumId="1">
    <w:nsid w:val="29EED160"/>
    <w:multiLevelType w:val="singleLevel"/>
    <w:tmpl w:val="29EED160"/>
    <w:lvl w:ilvl="0" w:tentative="0">
      <w:start w:val="2"/>
      <w:numFmt w:val="decimal"/>
      <w:suff w:val="nothing"/>
      <w:lvlText w:val="%1．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74C7FD3"/>
    <w:rsid w:val="0C7718F8"/>
    <w:rsid w:val="2D070EC5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434</Words>
  <Characters>486</Characters>
  <Lines>4</Lines>
  <Paragraphs>1</Paragraphs>
  <TotalTime>4</TotalTime>
  <ScaleCrop>false</ScaleCrop>
  <LinksUpToDate>false</LinksUpToDate>
  <CharactersWithSpaces>515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2026-07-09T09:21:47Z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