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C9955E">
      <w:pPr>
        <w:jc w:val="center"/>
        <w:rPr>
          <w:sz w:val="36"/>
        </w:rPr>
      </w:pPr>
      <w:r>
        <w:rPr>
          <w:sz w:val="36"/>
        </w:rPr>
        <w:t>中国科学技术大学国家同步辐射实验室</w:t>
      </w:r>
    </w:p>
    <w:p w14:paraId="0973E65B">
      <w:pPr>
        <w:jc w:val="center"/>
        <w:rPr>
          <w:sz w:val="36"/>
        </w:rPr>
      </w:pPr>
      <w:r>
        <w:rPr>
          <w:rFonts w:hint="eastAsia"/>
          <w:sz w:val="36"/>
        </w:rPr>
        <w:t>技术指标供应商确认表</w:t>
      </w:r>
    </w:p>
    <w:p w14:paraId="3E58F52B"/>
    <w:tbl>
      <w:tblPr>
        <w:tblStyle w:val="6"/>
        <w:tblW w:w="10120" w:type="dxa"/>
        <w:tblInd w:w="-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6"/>
        <w:gridCol w:w="1249"/>
        <w:gridCol w:w="5991"/>
        <w:gridCol w:w="1403"/>
        <w:gridCol w:w="1041"/>
      </w:tblGrid>
      <w:tr w14:paraId="3979FF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3" w:hRule="atLeast"/>
        </w:trPr>
        <w:tc>
          <w:tcPr>
            <w:tcW w:w="436" w:type="dxa"/>
            <w:vAlign w:val="center"/>
          </w:tcPr>
          <w:p w14:paraId="75C250BA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序号</w:t>
            </w:r>
          </w:p>
        </w:tc>
        <w:tc>
          <w:tcPr>
            <w:tcW w:w="1249" w:type="dxa"/>
            <w:vAlign w:val="center"/>
          </w:tcPr>
          <w:p w14:paraId="3A9FF52B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名称</w:t>
            </w:r>
          </w:p>
        </w:tc>
        <w:tc>
          <w:tcPr>
            <w:tcW w:w="5991" w:type="dxa"/>
            <w:vAlign w:val="center"/>
          </w:tcPr>
          <w:p w14:paraId="258D475E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技术指标</w:t>
            </w:r>
          </w:p>
        </w:tc>
        <w:tc>
          <w:tcPr>
            <w:tcW w:w="1403" w:type="dxa"/>
            <w:vAlign w:val="center"/>
          </w:tcPr>
          <w:p w14:paraId="37F7A556">
            <w:pPr>
              <w:spacing w:line="24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偏离说明</w:t>
            </w:r>
          </w:p>
          <w:p w14:paraId="328E92F5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Cs w:val="21"/>
              </w:rPr>
              <w:t>(</w:t>
            </w:r>
            <w:r>
              <w:rPr>
                <w:szCs w:val="21"/>
              </w:rPr>
              <w:t>无偏离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正偏离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负偏离</w:t>
            </w:r>
            <w:r>
              <w:rPr>
                <w:rFonts w:hint="eastAsia"/>
                <w:szCs w:val="21"/>
              </w:rPr>
              <w:t>)</w:t>
            </w:r>
          </w:p>
        </w:tc>
        <w:tc>
          <w:tcPr>
            <w:tcW w:w="1041" w:type="dxa"/>
            <w:vAlign w:val="center"/>
          </w:tcPr>
          <w:p w14:paraId="22A89C1E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 w:val="22"/>
              </w:rPr>
              <w:t>偏离值</w:t>
            </w:r>
          </w:p>
        </w:tc>
      </w:tr>
      <w:tr w14:paraId="394384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6" w:hRule="atLeast"/>
        </w:trPr>
        <w:tc>
          <w:tcPr>
            <w:tcW w:w="436" w:type="dxa"/>
            <w:vAlign w:val="center"/>
          </w:tcPr>
          <w:p w14:paraId="185CA09D">
            <w:pPr>
              <w:spacing w:line="240" w:lineRule="atLeas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249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7E88FD24">
            <w:pPr>
              <w:widowControl/>
              <w:spacing w:line="240" w:lineRule="atLeast"/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4"/>
                <w:szCs w:val="24"/>
              </w:rPr>
              <w:t>任意波形发生器和信号源</w:t>
            </w:r>
          </w:p>
        </w:tc>
        <w:tc>
          <w:tcPr>
            <w:tcW w:w="5991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279F1EE8">
            <w:pPr>
              <w:tabs>
                <w:tab w:val="left" w:pos="6915"/>
              </w:tabs>
              <w:jc w:val="left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射频信号源：</w:t>
            </w:r>
          </w:p>
          <w:p w14:paraId="605A135A">
            <w:pPr>
              <w:pStyle w:val="11"/>
              <w:numPr>
                <w:ilvl w:val="0"/>
                <w:numId w:val="1"/>
              </w:numPr>
              <w:ind w:firstLineChars="0"/>
            </w:pPr>
            <w:r>
              <w:rPr>
                <w:rFonts w:hint="eastAsia"/>
              </w:rPr>
              <w:t>数量：1；</w:t>
            </w:r>
          </w:p>
          <w:p w14:paraId="50B8C494">
            <w:pPr>
              <w:pStyle w:val="11"/>
              <w:numPr>
                <w:ilvl w:val="0"/>
                <w:numId w:val="1"/>
              </w:numPr>
              <w:ind w:firstLineChars="0"/>
            </w:pPr>
            <w:r>
              <w:rPr>
                <w:rFonts w:hint="eastAsia"/>
              </w:rPr>
              <w:t>最大输出频率≥</w:t>
            </w:r>
            <w:r>
              <w:t xml:space="preserve">6 </w:t>
            </w:r>
            <w:r>
              <w:rPr>
                <w:rFonts w:hint="eastAsia"/>
              </w:rPr>
              <w:t>GHz；</w:t>
            </w:r>
          </w:p>
          <w:p w14:paraId="5D9A64AF">
            <w:pPr>
              <w:pStyle w:val="11"/>
              <w:numPr>
                <w:ilvl w:val="0"/>
                <w:numId w:val="1"/>
              </w:numPr>
              <w:ind w:firstLineChars="0"/>
            </w:pPr>
            <w:r>
              <w:rPr>
                <w:rFonts w:hint="eastAsia"/>
              </w:rPr>
              <w:t>输出功率动态范围≥6</w:t>
            </w:r>
            <w:r>
              <w:t>0</w:t>
            </w:r>
            <w:r>
              <w:rPr>
                <w:rFonts w:hint="eastAsia"/>
              </w:rPr>
              <w:t>dBm；</w:t>
            </w:r>
          </w:p>
          <w:p w14:paraId="6E849F8A">
            <w:pPr>
              <w:pStyle w:val="11"/>
              <w:numPr>
                <w:ilvl w:val="0"/>
                <w:numId w:val="1"/>
              </w:numPr>
              <w:ind w:firstLineChars="0"/>
            </w:pPr>
            <w:r>
              <w:rPr>
                <w:rFonts w:hint="eastAsia"/>
              </w:rPr>
              <w:t>支持外部时钟源锁相功能；</w:t>
            </w:r>
          </w:p>
          <w:p w14:paraId="229E7F20">
            <w:pPr>
              <w:pStyle w:val="11"/>
              <w:numPr>
                <w:ilvl w:val="0"/>
                <w:numId w:val="1"/>
              </w:numPr>
              <w:ind w:firstLineChars="0"/>
            </w:pPr>
            <w:r>
              <w:rPr>
                <w:rFonts w:hint="eastAsia"/>
              </w:rPr>
              <w:t>相噪典型值＜7</w:t>
            </w:r>
            <w:r>
              <w:t>0</w:t>
            </w:r>
            <w:r>
              <w:rPr>
                <w:rFonts w:hint="eastAsia"/>
              </w:rPr>
              <w:t>dBc/</w:t>
            </w:r>
            <w:r>
              <w:t>Hz</w:t>
            </w:r>
            <w:r>
              <w:rPr>
                <w:rFonts w:hint="eastAsia"/>
              </w:rPr>
              <w:t>@</w:t>
            </w:r>
            <w:r>
              <w:t>500</w:t>
            </w:r>
            <w:r>
              <w:rPr>
                <w:rFonts w:hint="eastAsia"/>
              </w:rPr>
              <w:t>MHz</w:t>
            </w:r>
          </w:p>
          <w:p w14:paraId="1B2F8B36">
            <w:r>
              <w:rPr>
                <w:rFonts w:hint="eastAsia"/>
              </w:rPr>
              <w:t>任意波形发生器：</w:t>
            </w:r>
          </w:p>
          <w:p w14:paraId="684E24BE">
            <w:pPr>
              <w:pStyle w:val="11"/>
              <w:numPr>
                <w:ilvl w:val="0"/>
                <w:numId w:val="2"/>
              </w:numPr>
              <w:ind w:firstLineChars="0"/>
            </w:pPr>
            <w:r>
              <w:rPr>
                <w:rFonts w:hint="eastAsia"/>
              </w:rPr>
              <w:t>数量：1台；</w:t>
            </w:r>
          </w:p>
          <w:p w14:paraId="0637CBFB">
            <w:pPr>
              <w:pStyle w:val="11"/>
              <w:numPr>
                <w:ilvl w:val="0"/>
                <w:numId w:val="2"/>
              </w:numPr>
              <w:ind w:firstLineChars="0"/>
            </w:pPr>
            <w:r>
              <w:rPr>
                <w:rFonts w:hint="eastAsia"/>
              </w:rPr>
              <w:t>信号带宽≥</w:t>
            </w:r>
            <w:r>
              <w:t xml:space="preserve">1 </w:t>
            </w:r>
            <w:r>
              <w:rPr>
                <w:rFonts w:hint="eastAsia"/>
              </w:rPr>
              <w:t>GHz；</w:t>
            </w:r>
          </w:p>
          <w:p w14:paraId="3DC13A55">
            <w:pPr>
              <w:pStyle w:val="11"/>
              <w:numPr>
                <w:ilvl w:val="0"/>
                <w:numId w:val="2"/>
              </w:numPr>
              <w:ind w:firstLineChars="0"/>
            </w:pPr>
            <w:r>
              <w:rPr>
                <w:rFonts w:hint="eastAsia"/>
              </w:rPr>
              <w:t>采样率≥</w:t>
            </w:r>
            <w:r>
              <w:t>2.5Gs</w:t>
            </w:r>
            <w:r>
              <w:rPr>
                <w:rFonts w:hint="eastAsia"/>
              </w:rPr>
              <w:t>p</w:t>
            </w:r>
            <w:r>
              <w:t>s</w:t>
            </w:r>
            <w:r>
              <w:rPr>
                <w:rFonts w:hint="eastAsia"/>
              </w:rPr>
              <w:t>；</w:t>
            </w:r>
          </w:p>
          <w:p w14:paraId="776726C8">
            <w:pPr>
              <w:pStyle w:val="11"/>
              <w:numPr>
                <w:ilvl w:val="0"/>
                <w:numId w:val="2"/>
              </w:numPr>
              <w:ind w:firstLineChars="0"/>
            </w:pPr>
            <w:r>
              <w:rPr>
                <w:rFonts w:hint="eastAsia"/>
              </w:rPr>
              <w:t>位数≥1</w:t>
            </w:r>
            <w:r>
              <w:t>4</w:t>
            </w:r>
            <w:r>
              <w:rPr>
                <w:rFonts w:hint="eastAsia"/>
              </w:rPr>
              <w:t>bit；</w:t>
            </w:r>
          </w:p>
          <w:p w14:paraId="5F8CFEEE">
            <w:pPr>
              <w:pStyle w:val="11"/>
              <w:numPr>
                <w:ilvl w:val="0"/>
                <w:numId w:val="2"/>
              </w:numPr>
              <w:ind w:firstLineChars="0"/>
            </w:pPr>
            <w:r>
              <w:rPr>
                <w:rFonts w:hint="eastAsia"/>
              </w:rPr>
              <w:t>输出幅度范围≥3Vpp@</w:t>
            </w:r>
            <w:r>
              <w:t>1</w:t>
            </w:r>
            <w:r>
              <w:rPr>
                <w:rFonts w:hint="eastAsia"/>
              </w:rPr>
              <w:t>Hz~</w:t>
            </w:r>
            <w:r>
              <w:t>1</w:t>
            </w:r>
            <w:r>
              <w:rPr>
                <w:rFonts w:hint="eastAsia"/>
              </w:rPr>
              <w:t>MHz</w:t>
            </w:r>
          </w:p>
          <w:p w14:paraId="4843011B">
            <w:pPr>
              <w:pStyle w:val="11"/>
              <w:numPr>
                <w:ilvl w:val="0"/>
                <w:numId w:val="2"/>
              </w:numPr>
              <w:ind w:firstLineChars="0"/>
            </w:pPr>
            <w:r>
              <w:rPr>
                <w:rFonts w:hint="eastAsia"/>
              </w:rPr>
              <w:t>四通道且支持独立输出；</w:t>
            </w:r>
          </w:p>
          <w:p w14:paraId="63745A92">
            <w:pPr>
              <w:pStyle w:val="11"/>
              <w:numPr>
                <w:numId w:val="0"/>
              </w:numPr>
              <w:ind w:leftChars="0"/>
              <w:rPr>
                <w:bCs/>
                <w:sz w:val="24"/>
              </w:rPr>
            </w:pPr>
            <w:r>
              <w:rPr>
                <w:rFonts w:hint="eastAsia"/>
                <w:lang w:val="en-US" w:eastAsia="zh-CN"/>
              </w:rPr>
              <w:t>7、</w:t>
            </w:r>
            <w:bookmarkStart w:id="0" w:name="_GoBack"/>
            <w:bookmarkEnd w:id="0"/>
            <w:r>
              <w:rPr>
                <w:rFonts w:hint="eastAsia"/>
              </w:rPr>
              <w:t>支持信号调制功能</w:t>
            </w:r>
          </w:p>
        </w:tc>
        <w:tc>
          <w:tcPr>
            <w:tcW w:w="1403" w:type="dxa"/>
            <w:vAlign w:val="center"/>
          </w:tcPr>
          <w:p w14:paraId="205FF5AB">
            <w:pPr>
              <w:spacing w:line="240" w:lineRule="atLeast"/>
              <w:jc w:val="center"/>
            </w:pPr>
          </w:p>
        </w:tc>
        <w:tc>
          <w:tcPr>
            <w:tcW w:w="1041" w:type="dxa"/>
            <w:vAlign w:val="center"/>
          </w:tcPr>
          <w:p w14:paraId="1C60665B">
            <w:pPr>
              <w:spacing w:line="240" w:lineRule="atLeast"/>
              <w:jc w:val="center"/>
            </w:pPr>
          </w:p>
        </w:tc>
      </w:tr>
      <w:tr w14:paraId="497EA6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5" w:hRule="atLeast"/>
        </w:trPr>
        <w:tc>
          <w:tcPr>
            <w:tcW w:w="436" w:type="dxa"/>
            <w:vAlign w:val="center"/>
          </w:tcPr>
          <w:p w14:paraId="21D5CC9B">
            <w:pPr>
              <w:spacing w:line="240" w:lineRule="atLeast"/>
              <w:jc w:val="center"/>
            </w:pPr>
            <w:r>
              <w:t>2</w:t>
            </w:r>
          </w:p>
        </w:tc>
        <w:tc>
          <w:tcPr>
            <w:tcW w:w="12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17188C">
            <w:pPr>
              <w:widowControl/>
              <w:spacing w:line="240" w:lineRule="atLeast"/>
              <w:jc w:val="center"/>
            </w:pPr>
            <w:r>
              <w:rPr>
                <w:rFonts w:hint="eastAsia"/>
              </w:rPr>
              <w:t>商务条款</w:t>
            </w:r>
          </w:p>
        </w:tc>
        <w:tc>
          <w:tcPr>
            <w:tcW w:w="59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935870">
            <w:pPr>
              <w:tabs>
                <w:tab w:val="left" w:pos="6915"/>
              </w:tabs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交货期</w:t>
            </w:r>
            <w:r>
              <w:rPr>
                <w:rFonts w:hint="eastAsia" w:ascii="宋体" w:hAnsi="宋体"/>
                <w:b/>
                <w:szCs w:val="21"/>
              </w:rPr>
              <w:t>：</w:t>
            </w:r>
            <w:r>
              <w:rPr>
                <w:rFonts w:hint="eastAsia" w:ascii="宋体" w:hAnsi="宋体"/>
                <w:bCs/>
                <w:szCs w:val="21"/>
              </w:rPr>
              <w:t>合同签订后</w:t>
            </w:r>
            <w:r>
              <w:rPr>
                <w:rFonts w:ascii="宋体" w:hAnsi="宋体"/>
                <w:bCs/>
                <w:szCs w:val="21"/>
              </w:rPr>
              <w:t>3</w:t>
            </w:r>
            <w:r>
              <w:rPr>
                <w:rFonts w:hint="eastAsia" w:ascii="宋体" w:hAnsi="宋体"/>
                <w:bCs/>
                <w:szCs w:val="21"/>
              </w:rPr>
              <w:t>个月内将货物送达至甲方指定地点</w:t>
            </w:r>
          </w:p>
          <w:p w14:paraId="5A0F5C4C">
            <w:pPr>
              <w:tabs>
                <w:tab w:val="left" w:pos="6915"/>
              </w:tabs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付款方式</w:t>
            </w:r>
            <w:r>
              <w:rPr>
                <w:rFonts w:hint="eastAsia" w:ascii="宋体" w:hAnsi="宋体"/>
                <w:b/>
                <w:szCs w:val="21"/>
              </w:rPr>
              <w:t>：</w:t>
            </w:r>
            <w:r>
              <w:rPr>
                <w:rFonts w:hint="eastAsia" w:ascii="宋体" w:hAnsi="宋体"/>
                <w:szCs w:val="21"/>
              </w:rPr>
              <w:t>甲方预付合同总金额的</w:t>
            </w:r>
            <w:r>
              <w:rPr>
                <w:rFonts w:ascii="宋体" w:hAnsi="宋体"/>
                <w:szCs w:val="21"/>
              </w:rPr>
              <w:t>4</w:t>
            </w:r>
            <w:r>
              <w:rPr>
                <w:rFonts w:hint="eastAsia" w:ascii="宋体" w:hAnsi="宋体"/>
                <w:szCs w:val="21"/>
              </w:rPr>
              <w:t>0%，设备到货且甲方验收合格后支付合同总金额的</w:t>
            </w:r>
            <w:r>
              <w:rPr>
                <w:rFonts w:ascii="宋体" w:hAnsi="宋体"/>
                <w:szCs w:val="21"/>
              </w:rPr>
              <w:t>6</w:t>
            </w:r>
            <w:r>
              <w:rPr>
                <w:rFonts w:hint="eastAsia" w:ascii="宋体" w:hAnsi="宋体"/>
                <w:szCs w:val="21"/>
              </w:rPr>
              <w:t>0%</w:t>
            </w:r>
          </w:p>
          <w:p w14:paraId="496E534F">
            <w:pPr>
              <w:tabs>
                <w:tab w:val="left" w:pos="6915"/>
              </w:tabs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验收指标及验收要求：</w:t>
            </w:r>
            <w:r>
              <w:rPr>
                <w:rFonts w:hint="eastAsia" w:ascii="宋体" w:hAnsi="宋体"/>
                <w:szCs w:val="21"/>
              </w:rPr>
              <w:t>提供产品合格证</w:t>
            </w:r>
          </w:p>
          <w:p w14:paraId="758E4EEA">
            <w:pPr>
              <w:tabs>
                <w:tab w:val="left" w:pos="6915"/>
              </w:tabs>
              <w:jc w:val="left"/>
              <w:rPr>
                <w:rFonts w:hint="eastAsia" w:ascii="宋体" w:hAnsi="宋体" w:eastAsia="宋体" w:cs="宋体"/>
                <w:bCs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保修</w:t>
            </w:r>
            <w:r>
              <w:rPr>
                <w:rFonts w:ascii="宋体" w:hAnsi="宋体"/>
                <w:b/>
                <w:szCs w:val="21"/>
              </w:rPr>
              <w:t>及售后服务</w:t>
            </w:r>
            <w:r>
              <w:rPr>
                <w:rFonts w:hint="eastAsia" w:ascii="宋体" w:hAnsi="宋体"/>
                <w:b/>
                <w:szCs w:val="21"/>
              </w:rPr>
              <w:t>：</w:t>
            </w:r>
            <w:r>
              <w:rPr>
                <w:rFonts w:hint="eastAsia" w:ascii="宋体" w:hAnsi="宋体"/>
                <w:szCs w:val="21"/>
              </w:rPr>
              <w:t>设备质保期-现场验收合格后1年</w:t>
            </w:r>
          </w:p>
        </w:tc>
        <w:tc>
          <w:tcPr>
            <w:tcW w:w="1403" w:type="dxa"/>
            <w:vAlign w:val="center"/>
          </w:tcPr>
          <w:p w14:paraId="324B1D27">
            <w:pPr>
              <w:spacing w:line="240" w:lineRule="atLeast"/>
              <w:jc w:val="center"/>
            </w:pPr>
          </w:p>
        </w:tc>
        <w:tc>
          <w:tcPr>
            <w:tcW w:w="1041" w:type="dxa"/>
            <w:vAlign w:val="center"/>
          </w:tcPr>
          <w:p w14:paraId="06AA2CA0">
            <w:pPr>
              <w:spacing w:line="240" w:lineRule="atLeast"/>
              <w:jc w:val="center"/>
            </w:pPr>
          </w:p>
        </w:tc>
      </w:tr>
    </w:tbl>
    <w:p w14:paraId="0DED7F3B">
      <w:pPr>
        <w:ind w:right="840" w:firstLine="5040" w:firstLineChars="2100"/>
        <w:rPr>
          <w:sz w:val="24"/>
        </w:rPr>
      </w:pPr>
    </w:p>
    <w:p w14:paraId="6B36AD4F">
      <w:pPr>
        <w:ind w:right="840" w:firstLine="5040" w:firstLineChars="2100"/>
        <w:rPr>
          <w:sz w:val="24"/>
        </w:rPr>
      </w:pPr>
      <w:r>
        <w:rPr>
          <w:sz w:val="24"/>
        </w:rPr>
        <w:t>公司名称</w:t>
      </w:r>
      <w:r>
        <w:rPr>
          <w:rFonts w:hint="eastAsia"/>
          <w:sz w:val="24"/>
        </w:rPr>
        <w:t>（盖章）：</w:t>
      </w:r>
    </w:p>
    <w:p w14:paraId="2BA3965A">
      <w:pPr>
        <w:ind w:right="840"/>
        <w:jc w:val="center"/>
        <w:rPr>
          <w:sz w:val="24"/>
        </w:rPr>
      </w:pPr>
      <w:r>
        <w:rPr>
          <w:rFonts w:hint="eastAsia"/>
          <w:sz w:val="24"/>
        </w:rPr>
        <w:t xml:space="preserve"> </w:t>
      </w:r>
      <w:r>
        <w:rPr>
          <w:sz w:val="24"/>
        </w:rPr>
        <w:t xml:space="preserve">                            日期</w:t>
      </w:r>
      <w:r>
        <w:rPr>
          <w:rFonts w:hint="eastAsia"/>
          <w:sz w:val="24"/>
        </w:rPr>
        <w:t>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YaHei">
    <w:altName w:val="宋体"/>
    <w:panose1 w:val="00000000000000000000"/>
    <w:charset w:val="86"/>
    <w:family w:val="roman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463C73"/>
    <w:multiLevelType w:val="multilevel"/>
    <w:tmpl w:val="03463C73"/>
    <w:lvl w:ilvl="0" w:tentative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1D3652A4"/>
    <w:multiLevelType w:val="multilevel"/>
    <w:tmpl w:val="1D3652A4"/>
    <w:lvl w:ilvl="0" w:tentative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110C4"/>
    <w:rsid w:val="00015CB8"/>
    <w:rsid w:val="00020783"/>
    <w:rsid w:val="00050922"/>
    <w:rsid w:val="00086882"/>
    <w:rsid w:val="00090223"/>
    <w:rsid w:val="00091C8D"/>
    <w:rsid w:val="000E54CE"/>
    <w:rsid w:val="00102C13"/>
    <w:rsid w:val="00123779"/>
    <w:rsid w:val="001501D1"/>
    <w:rsid w:val="00151303"/>
    <w:rsid w:val="001548E0"/>
    <w:rsid w:val="00180627"/>
    <w:rsid w:val="001B219D"/>
    <w:rsid w:val="001D3367"/>
    <w:rsid w:val="001E2CE3"/>
    <w:rsid w:val="002026B2"/>
    <w:rsid w:val="002212AC"/>
    <w:rsid w:val="00261EE1"/>
    <w:rsid w:val="00267E42"/>
    <w:rsid w:val="002D1729"/>
    <w:rsid w:val="002E518A"/>
    <w:rsid w:val="003009AA"/>
    <w:rsid w:val="00363C73"/>
    <w:rsid w:val="003923FC"/>
    <w:rsid w:val="003C2330"/>
    <w:rsid w:val="003C7C5A"/>
    <w:rsid w:val="004626C3"/>
    <w:rsid w:val="004973C3"/>
    <w:rsid w:val="004B0D2F"/>
    <w:rsid w:val="00516FB3"/>
    <w:rsid w:val="00547A75"/>
    <w:rsid w:val="00584F75"/>
    <w:rsid w:val="005C4758"/>
    <w:rsid w:val="005D36D5"/>
    <w:rsid w:val="005E2C0C"/>
    <w:rsid w:val="005F7E7B"/>
    <w:rsid w:val="00630F8F"/>
    <w:rsid w:val="00642CDA"/>
    <w:rsid w:val="00670B3D"/>
    <w:rsid w:val="006B62DC"/>
    <w:rsid w:val="006C07B4"/>
    <w:rsid w:val="006D67E0"/>
    <w:rsid w:val="00705387"/>
    <w:rsid w:val="00720BC4"/>
    <w:rsid w:val="007230C5"/>
    <w:rsid w:val="00731AE1"/>
    <w:rsid w:val="00744E8E"/>
    <w:rsid w:val="00750961"/>
    <w:rsid w:val="00757D88"/>
    <w:rsid w:val="00763EDD"/>
    <w:rsid w:val="007B2AE3"/>
    <w:rsid w:val="00811B08"/>
    <w:rsid w:val="00825420"/>
    <w:rsid w:val="00832C3E"/>
    <w:rsid w:val="00841F33"/>
    <w:rsid w:val="00872767"/>
    <w:rsid w:val="00877DA3"/>
    <w:rsid w:val="008A717C"/>
    <w:rsid w:val="008D62B6"/>
    <w:rsid w:val="008E3DB8"/>
    <w:rsid w:val="008F0FFC"/>
    <w:rsid w:val="008F5C2B"/>
    <w:rsid w:val="009149BA"/>
    <w:rsid w:val="00961437"/>
    <w:rsid w:val="00995429"/>
    <w:rsid w:val="00996AC3"/>
    <w:rsid w:val="009B6E26"/>
    <w:rsid w:val="009C3224"/>
    <w:rsid w:val="009C4C31"/>
    <w:rsid w:val="009E2F9A"/>
    <w:rsid w:val="009F5C3A"/>
    <w:rsid w:val="00A01094"/>
    <w:rsid w:val="00A11447"/>
    <w:rsid w:val="00A20D98"/>
    <w:rsid w:val="00A27625"/>
    <w:rsid w:val="00A44E8A"/>
    <w:rsid w:val="00A533CA"/>
    <w:rsid w:val="00A66F06"/>
    <w:rsid w:val="00A7013F"/>
    <w:rsid w:val="00A8112C"/>
    <w:rsid w:val="00AC1D37"/>
    <w:rsid w:val="00AC67EF"/>
    <w:rsid w:val="00AE3028"/>
    <w:rsid w:val="00AF7A8B"/>
    <w:rsid w:val="00B0175F"/>
    <w:rsid w:val="00B04741"/>
    <w:rsid w:val="00B311D0"/>
    <w:rsid w:val="00B64004"/>
    <w:rsid w:val="00B7785A"/>
    <w:rsid w:val="00B90DC2"/>
    <w:rsid w:val="00B971DE"/>
    <w:rsid w:val="00BA1B3F"/>
    <w:rsid w:val="00BC2767"/>
    <w:rsid w:val="00BD701B"/>
    <w:rsid w:val="00C102A3"/>
    <w:rsid w:val="00C1298E"/>
    <w:rsid w:val="00C26D9F"/>
    <w:rsid w:val="00C420C3"/>
    <w:rsid w:val="00C442AD"/>
    <w:rsid w:val="00CA3288"/>
    <w:rsid w:val="00CA3E3B"/>
    <w:rsid w:val="00D011DC"/>
    <w:rsid w:val="00D04097"/>
    <w:rsid w:val="00D16AC0"/>
    <w:rsid w:val="00D24D09"/>
    <w:rsid w:val="00D72E1E"/>
    <w:rsid w:val="00D81354"/>
    <w:rsid w:val="00DA7BF9"/>
    <w:rsid w:val="00E00131"/>
    <w:rsid w:val="00E0215E"/>
    <w:rsid w:val="00E147A9"/>
    <w:rsid w:val="00E31AA5"/>
    <w:rsid w:val="00E5012E"/>
    <w:rsid w:val="00E762FD"/>
    <w:rsid w:val="00E930C8"/>
    <w:rsid w:val="00EA412A"/>
    <w:rsid w:val="00EA6BA9"/>
    <w:rsid w:val="00EB6224"/>
    <w:rsid w:val="00EB6FB2"/>
    <w:rsid w:val="00EC5A9D"/>
    <w:rsid w:val="00F02F94"/>
    <w:rsid w:val="00F26580"/>
    <w:rsid w:val="00F347F0"/>
    <w:rsid w:val="00F34AE9"/>
    <w:rsid w:val="00F357B0"/>
    <w:rsid w:val="00F43549"/>
    <w:rsid w:val="00F50B62"/>
    <w:rsid w:val="00F70F95"/>
    <w:rsid w:val="00F82AA6"/>
    <w:rsid w:val="00F855E3"/>
    <w:rsid w:val="00FA453C"/>
    <w:rsid w:val="00FC7C08"/>
    <w:rsid w:val="00FE15FA"/>
    <w:rsid w:val="00FF78CF"/>
    <w:rsid w:val="0279069A"/>
    <w:rsid w:val="07416EBF"/>
    <w:rsid w:val="093C12EB"/>
    <w:rsid w:val="0EB47357"/>
    <w:rsid w:val="190132EF"/>
    <w:rsid w:val="24FF7627"/>
    <w:rsid w:val="251E174D"/>
    <w:rsid w:val="2D070EC5"/>
    <w:rsid w:val="2F83661E"/>
    <w:rsid w:val="40512489"/>
    <w:rsid w:val="468B21C7"/>
    <w:rsid w:val="46BF17AE"/>
    <w:rsid w:val="47494CC3"/>
    <w:rsid w:val="48EB0E6F"/>
    <w:rsid w:val="58533025"/>
    <w:rsid w:val="5DC766F2"/>
    <w:rsid w:val="64331764"/>
    <w:rsid w:val="6DA20D7D"/>
    <w:rsid w:val="70E72ABF"/>
    <w:rsid w:val="73DE03F4"/>
    <w:rsid w:val="79B03C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qFormat/>
    <w:uiPriority w:val="99"/>
    <w:pPr>
      <w:spacing w:beforeAutospacing="1" w:afterAutospacing="1" w:line="278" w:lineRule="auto"/>
      <w:jc w:val="left"/>
    </w:pPr>
    <w:rPr>
      <w:rFonts w:ascii="Times New Roman" w:hAnsi="Times New Roman" w:eastAsia="宋体" w:cs="Times New Roman"/>
      <w:kern w:val="0"/>
      <w:sz w:val="24"/>
      <w:szCs w:val="24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fontstyle01"/>
    <w:basedOn w:val="7"/>
    <w:qFormat/>
    <w:uiPriority w:val="0"/>
    <w:rPr>
      <w:rFonts w:hint="default" w:ascii="MicrosoftYaHei" w:hAnsi="MicrosoftYaHei"/>
      <w:color w:val="000000"/>
      <w:sz w:val="22"/>
      <w:szCs w:val="22"/>
    </w:rPr>
  </w:style>
  <w:style w:type="character" w:customStyle="1" w:styleId="9">
    <w:name w:val="页眉 字符"/>
    <w:basedOn w:val="7"/>
    <w:link w:val="3"/>
    <w:qFormat/>
    <w:uiPriority w:val="99"/>
    <w:rPr>
      <w:sz w:val="18"/>
      <w:szCs w:val="18"/>
    </w:rPr>
  </w:style>
  <w:style w:type="character" w:customStyle="1" w:styleId="10">
    <w:name w:val="页脚 字符"/>
    <w:basedOn w:val="7"/>
    <w:link w:val="2"/>
    <w:qFormat/>
    <w:uiPriority w:val="99"/>
    <w:rPr>
      <w:sz w:val="18"/>
      <w:szCs w:val="18"/>
    </w:rPr>
  </w:style>
  <w:style w:type="paragraph" w:styleId="11">
    <w:name w:val="List Paragraph"/>
    <w:basedOn w:val="1"/>
    <w:autoRedefine/>
    <w:qFormat/>
    <w:uiPriority w:val="99"/>
    <w:pPr>
      <w:tabs>
        <w:tab w:val="left" w:pos="1428"/>
      </w:tabs>
      <w:ind w:firstLine="420" w:firstLineChars="200"/>
      <w:jc w:val="left"/>
    </w:pPr>
    <w:rPr>
      <w:rFonts w:ascii="Times New Roman" w:hAnsi="Times New Roman" w:eastAsia="宋体" w:cs="Times New Roman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1</Pages>
  <Words>298</Words>
  <Characters>346</Characters>
  <Lines>11</Lines>
  <Paragraphs>3</Paragraphs>
  <TotalTime>0</TotalTime>
  <ScaleCrop>false</ScaleCrop>
  <LinksUpToDate>false</LinksUpToDate>
  <CharactersWithSpaces>377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2024-07-15T01:36:00Z</dcterms:created>
  <dc:creator>China</dc:creator>
  <cp:lastModifiedBy>陈文佳</cp:lastModifiedBy>
  <dcterms:modified xsi:type="dcterms:W3CDTF">2026-04-08T02:50:36Z</dcterms:modified>
  <cp:revision>38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eyJoZGlkIjoiMzc0OTQ1OWZiNDc3Y2MyZmZmZWIzYzRlODQ4NDE3OTYiLCJ1c2VySWQiOiIxNzc0OTA2Mjk1In0=</vt:lpwstr>
  </property>
  <property fmtid="{D5CDD505-2E9C-101B-9397-08002B2CF9AE}" pid="3" name="KSOProductBuildVer">
    <vt:lpwstr>2052-12.1.0.23542</vt:lpwstr>
  </property>
  <property fmtid="{D5CDD505-2E9C-101B-9397-08002B2CF9AE}" pid="4" name="ICV">
    <vt:lpwstr>20B1B4D6E71F47CB8E65CCEFBC87FC75_12</vt:lpwstr>
  </property>
</Properties>
</file>