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三维位移台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F8CB43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本次采购三维位移台1套。其主要参数为：</w:t>
            </w:r>
          </w:p>
          <w:p w14:paraId="6ED4CE81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X向行程≥30mm</w:t>
            </w:r>
          </w:p>
          <w:p w14:paraId="75031003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Y向行程≥30mm</w:t>
            </w:r>
          </w:p>
          <w:p w14:paraId="118A4BB0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Z向行程≥30mm</w:t>
            </w:r>
          </w:p>
          <w:p w14:paraId="01865783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真空度≤1E-8 mbar</w:t>
            </w:r>
          </w:p>
          <w:p w14:paraId="19D7F563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负载≥1kg</w:t>
            </w:r>
          </w:p>
          <w:p w14:paraId="0CEDA4AC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运动台质量单轴≤150g</w:t>
            </w:r>
          </w:p>
          <w:p w14:paraId="13D300F7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运动台尺寸单轴≤50*50*10mm</w:t>
            </w:r>
          </w:p>
          <w:p w14:paraId="20D8AE7B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重复精度≤50nm</w:t>
            </w:r>
          </w:p>
          <w:p w14:paraId="33AA5CFE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传感器分辨率1nm</w:t>
            </w:r>
          </w:p>
          <w:p w14:paraId="29BE563A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驱动源压电陶瓷</w:t>
            </w:r>
          </w:p>
          <w:p w14:paraId="05FEB804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控制器接口类型D-Sub15</w:t>
            </w:r>
          </w:p>
          <w:p w14:paraId="17E6317B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控制器尺寸≤450*280*45mm</w:t>
            </w:r>
          </w:p>
          <w:p w14:paraId="4FF22473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控制器通讯支持网口</w:t>
            </w:r>
          </w:p>
          <w:p w14:paraId="7ED7AD47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通讯协议支持EPICS通讯协议</w:t>
            </w:r>
          </w:p>
          <w:p w14:paraId="386166F4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注：报价时投标方提供的产品需为成熟的，标准化的；</w:t>
            </w:r>
          </w:p>
          <w:p w14:paraId="415FBA7A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Cs/>
                <w:szCs w:val="21"/>
              </w:rPr>
              <w:t>投标方需提供制造商或国内总代理商针对本项目的售后服务承诺。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合同签订后六个月内交付</w:t>
            </w:r>
          </w:p>
          <w:p w14:paraId="379C6791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一次性交付</w:t>
            </w:r>
          </w:p>
          <w:p w14:paraId="063DF81A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</w:p>
          <w:p w14:paraId="5AC8404D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（1）合同签订后 30 日内，买方支付合同总价的 </w:t>
            </w:r>
            <w:r>
              <w:rPr>
                <w:rFonts w:ascii="宋体" w:hAnsi="宋体"/>
                <w:bCs/>
                <w:szCs w:val="21"/>
              </w:rPr>
              <w:t>8</w:t>
            </w:r>
            <w:r>
              <w:rPr>
                <w:rFonts w:hint="eastAsia" w:ascii="宋体" w:hAnsi="宋体"/>
                <w:bCs/>
                <w:szCs w:val="21"/>
              </w:rPr>
              <w:t>0% 作为预付款；</w:t>
            </w:r>
          </w:p>
          <w:p w14:paraId="4F57B6B1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（2）设备运抵买方指定地点并完成安装调试，经双方确认验收合格后 30 日内，买方支付合同总价的 </w:t>
            </w: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hint="eastAsia" w:ascii="宋体" w:hAnsi="宋体"/>
                <w:bCs/>
                <w:szCs w:val="21"/>
              </w:rPr>
              <w:t>0% 作为尾款；</w:t>
            </w:r>
          </w:p>
          <w:p w14:paraId="161F788E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(3)如需外贸合同: 合同生效后三十(30)日内，买方通过银行开具以卖方为受益人的不可撤销即期信用证(L/C at sight),支付合同总额的百分之九十(90%);其余百分之十(10%)作为尾款，于双方完成验收并签署验收确认书后三十(30)日内，由买方以电汇(T/T)方式支付至卖方指定账户。</w:t>
            </w:r>
          </w:p>
          <w:p w14:paraId="50609E60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197B364D">
            <w:pPr>
              <w:keepNext w:val="0"/>
              <w:keepLines/>
              <w:pageBreakBefore w:val="0"/>
              <w:widowControl w:val="0"/>
              <w:tabs>
                <w:tab w:val="left" w:pos="607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设备数量验收：需与合同内货物数量对齐</w:t>
            </w:r>
          </w:p>
          <w:p w14:paraId="36C3369D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  <w:highlight w:val="yellow"/>
              </w:rPr>
            </w:pPr>
            <w:r>
              <w:rPr>
                <w:rFonts w:hint="eastAsia" w:ascii="宋体" w:hAnsi="宋体"/>
                <w:bCs/>
                <w:szCs w:val="21"/>
              </w:rPr>
              <w:t>文档及手册验收：需包含技术规格表，使用说明书，二次开发文档</w:t>
            </w:r>
          </w:p>
          <w:p w14:paraId="4653C0F4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1.设备及附件按装箱单齐全，外观无损伤；</w:t>
            </w:r>
          </w:p>
          <w:p w14:paraId="161E302D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2.上电启动正常，面板指示正常；</w:t>
            </w:r>
          </w:p>
          <w:p w14:paraId="1F2AF887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3.各轴激活、运动及位置反馈正常；</w:t>
            </w:r>
          </w:p>
          <w:p w14:paraId="4E8D2623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4.软件安装并正常启动。</w:t>
            </w:r>
          </w:p>
          <w:p w14:paraId="5EAC6A28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5.网线连接后，链路灯正常；</w:t>
            </w:r>
          </w:p>
          <w:p w14:paraId="177179C5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6.控制器 IP/子网掩码/网关按现场局域网规划配置完成，无地址冲突；</w:t>
            </w:r>
          </w:p>
          <w:p w14:paraId="46CE2D62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7.PC与控制器互ping通，无丢包；</w:t>
            </w:r>
          </w:p>
          <w:p w14:paraId="3364DAC1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设备性能验收指标： </w:t>
            </w:r>
          </w:p>
          <w:p w14:paraId="35A8664F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X向行程≥30mm</w:t>
            </w:r>
            <w:r>
              <w:rPr>
                <w:rFonts w:hint="eastAsia" w:ascii="宋体" w:hAnsi="宋体"/>
                <w:bCs/>
                <w:szCs w:val="21"/>
              </w:rPr>
              <w:tab/>
            </w:r>
          </w:p>
          <w:p w14:paraId="1869BD7E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Y向行程≥30mm</w:t>
            </w:r>
            <w:r>
              <w:rPr>
                <w:rFonts w:hint="eastAsia" w:ascii="宋体" w:hAnsi="宋体"/>
                <w:bCs/>
                <w:szCs w:val="21"/>
              </w:rPr>
              <w:tab/>
            </w:r>
          </w:p>
          <w:p w14:paraId="2B97479E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Z向行程≥30mm</w:t>
            </w:r>
            <w:r>
              <w:rPr>
                <w:rFonts w:hint="eastAsia" w:ascii="宋体" w:hAnsi="宋体"/>
                <w:bCs/>
                <w:szCs w:val="21"/>
              </w:rPr>
              <w:tab/>
            </w:r>
          </w:p>
          <w:p w14:paraId="65A33EC1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真空度≤1E-8 mbar</w:t>
            </w:r>
            <w:r>
              <w:rPr>
                <w:rFonts w:hint="eastAsia" w:ascii="宋体" w:hAnsi="宋体"/>
                <w:bCs/>
                <w:szCs w:val="21"/>
              </w:rPr>
              <w:tab/>
            </w:r>
          </w:p>
          <w:p w14:paraId="42AB6175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负载≥1kg </w:t>
            </w:r>
          </w:p>
          <w:p w14:paraId="43C69C32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运动台质量单轴≤150g</w:t>
            </w:r>
            <w:r>
              <w:rPr>
                <w:rFonts w:hint="eastAsia" w:ascii="宋体" w:hAnsi="宋体"/>
                <w:bCs/>
                <w:szCs w:val="21"/>
              </w:rPr>
              <w:tab/>
            </w:r>
          </w:p>
          <w:p w14:paraId="35630A13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运动台尺寸单轴≤50*50*10mm</w:t>
            </w:r>
            <w:r>
              <w:rPr>
                <w:rFonts w:hint="eastAsia" w:ascii="宋体" w:hAnsi="宋体"/>
                <w:bCs/>
                <w:szCs w:val="21"/>
              </w:rPr>
              <w:tab/>
            </w:r>
          </w:p>
          <w:p w14:paraId="33864190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重复精度≤50nm</w:t>
            </w:r>
            <w:r>
              <w:rPr>
                <w:rFonts w:hint="eastAsia" w:ascii="宋体" w:hAnsi="宋体"/>
                <w:bCs/>
                <w:szCs w:val="21"/>
              </w:rPr>
              <w:tab/>
            </w:r>
          </w:p>
          <w:p w14:paraId="6D36D77A">
            <w:pPr>
              <w:keepNext w:val="0"/>
              <w:keepLines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传感器分辨率1nm</w:t>
            </w:r>
            <w:r>
              <w:rPr>
                <w:rFonts w:hint="eastAsia" w:ascii="宋体" w:hAnsi="宋体"/>
                <w:bCs/>
                <w:szCs w:val="21"/>
              </w:rPr>
              <w:tab/>
            </w:r>
          </w:p>
          <w:p w14:paraId="495C7A35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乙方对其所提供设备的免费保修期为12个月。质保期内，非人为故障所需更换的零配件，不另收取人工费和差旅费。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3EEA2C61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2026-09-11T09:18:28Z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