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C5E6C" w:rsidTr="00802128">
        <w:trPr>
          <w:trHeight w:val="1698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冲击磁铁放电柜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负载电感≤0.6 uH（采购方提供），总电感＜1.5 uH；放电电流≥3 kA；输出脉冲电流波形为半正弦波，底宽3.0±0.1 us（在峰值电流的0%电平处测量脉冲宽度）；脉冲前沿抖动≤5 ns（相对于外触发信号，采用示波器测量标准偏差的方式）；最大重复频率：10 pps(1-10pps连续可调)；重复稳定度：＜0.2%（p-p）（半小时测量）。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884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冲击磁铁充电高压模块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输出：10kV/500W；包含充电禁止信号</w:t>
            </w:r>
            <w:r w:rsidRPr="005C5E6C">
              <w:rPr>
                <w:rFonts w:ascii="宋体" w:hAnsi="宋体" w:cs="宋体" w:hint="eastAsia"/>
                <w:bCs/>
                <w:szCs w:val="21"/>
              </w:rPr>
              <w:t>（电脉冲信号1</w:t>
            </w:r>
            <w:r w:rsidRPr="005C5E6C">
              <w:rPr>
                <w:rFonts w:ascii="宋体" w:hAnsi="宋体" w:cs="宋体"/>
                <w:bCs/>
                <w:szCs w:val="21"/>
              </w:rPr>
              <w:t>0</w:t>
            </w:r>
            <w:r w:rsidRPr="005C5E6C">
              <w:rPr>
                <w:rFonts w:ascii="宋体" w:hAnsi="宋体" w:cs="宋体" w:hint="eastAsia"/>
                <w:bCs/>
                <w:szCs w:val="21"/>
              </w:rPr>
              <w:t>V）</w:t>
            </w:r>
            <w:r w:rsidRPr="005C5E6C">
              <w:rPr>
                <w:rFonts w:ascii="宋体" w:hAnsi="宋体" w:cs="宋体"/>
                <w:bCs/>
                <w:szCs w:val="21"/>
              </w:rPr>
              <w:t>；稳定度好于0.1%。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995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冲击电源触发器模块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为冲击磁铁放电柜放电开关组建提供触发信号，输入为光信号，接收器要求为HFBR2414，输出≥5V/2A。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698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冲击电源反峰组件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固态冲击磁铁放电柜用</w:t>
            </w:r>
            <w:r w:rsidRPr="005C5E6C">
              <w:rPr>
                <w:rFonts w:ascii="宋体" w:hAnsi="宋体" w:cs="宋体" w:hint="eastAsia"/>
                <w:bCs/>
                <w:szCs w:val="21"/>
              </w:rPr>
              <w:t>，承受电压1</w:t>
            </w:r>
            <w:r w:rsidRPr="005C5E6C">
              <w:rPr>
                <w:rFonts w:ascii="宋体" w:hAnsi="宋体" w:cs="宋体"/>
                <w:bCs/>
                <w:szCs w:val="21"/>
              </w:rPr>
              <w:t xml:space="preserve">0 </w:t>
            </w:r>
            <w:r w:rsidRPr="005C5E6C">
              <w:rPr>
                <w:rFonts w:ascii="宋体" w:hAnsi="宋体" w:cs="宋体" w:hint="eastAsia"/>
                <w:bCs/>
                <w:szCs w:val="21"/>
              </w:rPr>
              <w:t>kV通过电流</w:t>
            </w:r>
            <w:r w:rsidRPr="005C5E6C">
              <w:rPr>
                <w:rFonts w:ascii="宋体" w:hAnsi="宋体" w:cs="宋体"/>
                <w:bCs/>
                <w:szCs w:val="21"/>
              </w:rPr>
              <w:t xml:space="preserve">3 </w:t>
            </w:r>
            <w:r w:rsidRPr="005C5E6C">
              <w:rPr>
                <w:rFonts w:ascii="宋体" w:hAnsi="宋体" w:cs="宋体" w:hint="eastAsia"/>
                <w:bCs/>
                <w:szCs w:val="21"/>
              </w:rPr>
              <w:t>kA</w:t>
            </w:r>
            <w:r w:rsidRPr="005C5E6C">
              <w:rPr>
                <w:rFonts w:ascii="宋体" w:hAnsi="宋体" w:cs="宋体"/>
                <w:bCs/>
                <w:szCs w:val="21"/>
              </w:rPr>
              <w:t>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552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冲击电源储能电容组件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 w:hint="eastAsia"/>
                <w:bCs/>
                <w:szCs w:val="21"/>
              </w:rPr>
              <w:t>总电容/耐压：</w:t>
            </w:r>
            <w:r w:rsidRPr="005C5E6C">
              <w:rPr>
                <w:rFonts w:ascii="宋体" w:hAnsi="宋体" w:cs="宋体"/>
                <w:bCs/>
                <w:szCs w:val="21"/>
              </w:rPr>
              <w:t>0.033uF/</w:t>
            </w:r>
            <w:r w:rsidRPr="005C5E6C">
              <w:rPr>
                <w:rFonts w:ascii="宋体" w:hAnsi="宋体" w:cs="宋体" w:hint="eastAsia"/>
                <w:bCs/>
                <w:szCs w:val="21"/>
              </w:rPr>
              <w:t>1</w:t>
            </w:r>
            <w:r w:rsidRPr="005C5E6C">
              <w:rPr>
                <w:rFonts w:ascii="宋体" w:hAnsi="宋体" w:cs="宋体"/>
                <w:bCs/>
                <w:szCs w:val="21"/>
              </w:rPr>
              <w:t>0 kV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619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监控分机模块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 xml:space="preserve">非标，冲击磁铁放电柜配套使用；继电器型故障输入（20点）、NPN型三极管输出（10点）； 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674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配电分机模块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非标，输入为AC220V，为冲击磁铁放电柜供电。设备功率要求2kW。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802128">
        <w:trPr>
          <w:trHeight w:val="1698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监控电路板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非标，冲击磁铁放电柜配套使用，将系统内的故障进行模数转换，提供给监控分机。包括：反峰故障、电源故障、触发故障、开机信号。NPN型三极管输出，共5点。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802128">
        <w:trPr>
          <w:trHeight w:val="1698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切割磁铁放电柜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负载为电感，最大输出电压1.5 kV；最大输出脉冲电流8 kA；放电波形为完整正弦波，底宽60us（在峰值电流的0%电平处测量脉冲宽度）；稳定度≤0.1%（半小时测量）；最大重复频率10 Hz(1-10pps连续可调)。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699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高压分压器组件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 xml:space="preserve"> 输出0-10 kV对应模拟量0-10 V，精度≤0.1%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5C5E6C" w:rsidTr="005C5E6C">
        <w:trPr>
          <w:trHeight w:val="709"/>
        </w:trPr>
        <w:tc>
          <w:tcPr>
            <w:tcW w:w="709" w:type="dxa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lastRenderedPageBreak/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电流互感器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C5E6C" w:rsidRPr="005C5E6C" w:rsidRDefault="005C5E6C" w:rsidP="005C5E6C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/>
                <w:bCs/>
                <w:szCs w:val="21"/>
              </w:rPr>
              <w:t>量程10 kA，变比0.1 V/1 A；精度≤0.1%</w:t>
            </w:r>
          </w:p>
        </w:tc>
        <w:tc>
          <w:tcPr>
            <w:tcW w:w="1701" w:type="dxa"/>
            <w:vAlign w:val="center"/>
          </w:tcPr>
          <w:p w:rsidR="005C5E6C" w:rsidRDefault="005C5E6C" w:rsidP="005C5E6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5E6C" w:rsidRDefault="005C5E6C" w:rsidP="005C5E6C">
            <w:pPr>
              <w:jc w:val="center"/>
            </w:pPr>
          </w:p>
        </w:tc>
      </w:tr>
      <w:tr w:rsidR="00A95B25" w:rsidTr="005C5E6C">
        <w:trPr>
          <w:trHeight w:val="5643"/>
        </w:trPr>
        <w:tc>
          <w:tcPr>
            <w:tcW w:w="709" w:type="dxa"/>
            <w:vAlign w:val="center"/>
          </w:tcPr>
          <w:p w:rsidR="00A95B25" w:rsidRDefault="005C5E6C" w:rsidP="00A95B25">
            <w:pPr>
              <w:jc w:val="center"/>
            </w:pPr>
            <w:r>
              <w:t>1</w:t>
            </w:r>
            <w:bookmarkStart w:id="0" w:name="_GoBack"/>
            <w:bookmarkEnd w:id="0"/>
            <w:r w:rsidR="00A95B25"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5C5E6C" w:rsidRPr="005C5E6C" w:rsidRDefault="005C5E6C" w:rsidP="005C5E6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5E6C">
              <w:rPr>
                <w:rFonts w:ascii="宋体" w:hAnsi="宋体" w:cs="宋体" w:hint="eastAsia"/>
                <w:bCs/>
                <w:szCs w:val="21"/>
              </w:rPr>
              <w:t>交货期：签订合同后12个月内。</w:t>
            </w:r>
          </w:p>
          <w:p w:rsidR="005C5E6C" w:rsidRPr="005C5E6C" w:rsidRDefault="005C5E6C" w:rsidP="005C5E6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5E6C">
              <w:rPr>
                <w:rFonts w:ascii="宋体" w:hAnsi="宋体" w:cs="宋体" w:hint="eastAsia"/>
                <w:bCs/>
                <w:szCs w:val="21"/>
              </w:rPr>
              <w:t>交付进度：供货方于合同生效之日起12个月内将货物送达至采购方指定地点。</w:t>
            </w:r>
          </w:p>
          <w:p w:rsidR="005C5E6C" w:rsidRPr="005C5E6C" w:rsidRDefault="005C5E6C" w:rsidP="005C5E6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5E6C">
              <w:rPr>
                <w:rFonts w:ascii="宋体" w:hAnsi="宋体" w:cs="宋体" w:hint="eastAsia"/>
                <w:bCs/>
                <w:szCs w:val="21"/>
              </w:rPr>
              <w:t>付款方式：签订合同后，预付合同总额的50%；货到验收合格后30个工作日内，付清合同尾款。</w:t>
            </w:r>
          </w:p>
          <w:p w:rsidR="005C5E6C" w:rsidRPr="005C5E6C" w:rsidRDefault="005C5E6C" w:rsidP="005C5E6C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5E6C">
              <w:rPr>
                <w:rFonts w:ascii="宋体" w:hAnsi="宋体" w:cs="宋体" w:hint="eastAsia"/>
                <w:bCs/>
                <w:szCs w:val="21"/>
              </w:rPr>
              <w:t>验收指标及验收要求：按照技术参数要求进行验收，验收指标如表所示。验收期间，货物数量、规格型号等与表所示技术参数要求不符，或存在质量问题的，供货方应在接到采购方异议之日起 3日内更换合格产品重新交付至采购方指定地点，并承担因此而发生的相关费用。</w:t>
            </w:r>
          </w:p>
          <w:p w:rsidR="00A95B25" w:rsidRPr="009E2151" w:rsidRDefault="005C5E6C" w:rsidP="005C5E6C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5C5E6C">
              <w:rPr>
                <w:rFonts w:ascii="宋体" w:hAnsi="宋体" w:cs="宋体" w:hint="eastAsia"/>
                <w:bCs/>
                <w:szCs w:val="21"/>
              </w:rPr>
              <w:t>保修及售后服务：产品质保期为12个月，时间自验收合格之日起计算。质保期内货物出现质量问题的，供货方应自接到采购方异议之日起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1A9" w:rsidRDefault="007871A9" w:rsidP="008F5C2B">
      <w:r>
        <w:separator/>
      </w:r>
    </w:p>
  </w:endnote>
  <w:endnote w:type="continuationSeparator" w:id="0">
    <w:p w:rsidR="007871A9" w:rsidRDefault="007871A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1A9" w:rsidRDefault="007871A9" w:rsidP="008F5C2B">
      <w:r>
        <w:separator/>
      </w:r>
    </w:p>
  </w:footnote>
  <w:footnote w:type="continuationSeparator" w:id="0">
    <w:p w:rsidR="007871A9" w:rsidRDefault="007871A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306F6"/>
    <w:rsid w:val="001241BC"/>
    <w:rsid w:val="00261EE1"/>
    <w:rsid w:val="002A7FCE"/>
    <w:rsid w:val="002D1729"/>
    <w:rsid w:val="002E518A"/>
    <w:rsid w:val="00354099"/>
    <w:rsid w:val="00416B9F"/>
    <w:rsid w:val="004B0D2F"/>
    <w:rsid w:val="00523CC2"/>
    <w:rsid w:val="005863B7"/>
    <w:rsid w:val="005C5E6C"/>
    <w:rsid w:val="005F6A4E"/>
    <w:rsid w:val="005F7E7B"/>
    <w:rsid w:val="00642CDA"/>
    <w:rsid w:val="00670B3D"/>
    <w:rsid w:val="00684CF5"/>
    <w:rsid w:val="00705387"/>
    <w:rsid w:val="00720BC4"/>
    <w:rsid w:val="007230C5"/>
    <w:rsid w:val="00726C8D"/>
    <w:rsid w:val="007871A9"/>
    <w:rsid w:val="00811B08"/>
    <w:rsid w:val="008F5C2B"/>
    <w:rsid w:val="009149BA"/>
    <w:rsid w:val="00961437"/>
    <w:rsid w:val="00973EB6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189</Words>
  <Characters>1078</Characters>
  <Application>Microsoft Office Word</Application>
  <DocSecurity>0</DocSecurity>
  <Lines>8</Lines>
  <Paragraphs>2</Paragraphs>
  <ScaleCrop>false</ScaleCrop>
  <Company>P R C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2024-09-02T03:21:00Z</dcterms:modified>
</cp:coreProperties>
</file>