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单色器光栅基底及平面镜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D4127C">
            <w:pPr>
              <w:tabs>
                <w:tab w:val="left" w:pos="6915"/>
              </w:tabs>
              <w:ind w:firstLine="420" w:firstLineChars="20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本次采购包含光栅基底3块、平面反射镜1块，全部用于合肥光源共振软X射线散射光束线光学系统，作为线站单色器光栅、平面镜核心光学元件。该批光学元件可支撑实验站实现更高光子通量的运行目标，完成入射光束单色化与光束精准准直，有效提升到达样品处的光子通量；工作能量区间覆盖220 eV–700 eV软X射线波段，充分匹配波荡器光源输出特性，满足共振软X射线散射实验针对低浓度样品、厚薄膜体系、弱信号探测、快速动力学演变过程等前沿方向的测试需求，保障大批量样品高效测试与高分辨实验数据采集，进一步拓展光束线站的科学研究能力。</w:t>
            </w:r>
          </w:p>
          <w:p w14:paraId="58D60180">
            <w:pPr>
              <w:tabs>
                <w:tab w:val="left" w:pos="6915"/>
              </w:tabs>
              <w:ind w:firstLine="420" w:firstLineChars="20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具体参数及精度要求</w:t>
            </w:r>
          </w:p>
          <w:p w14:paraId="25047F6B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光栅基底：</w:t>
            </w:r>
          </w:p>
          <w:p w14:paraId="3898DF46">
            <w:pPr>
              <w:numPr>
                <w:ilvl w:val="0"/>
                <w:numId w:val="1"/>
              </w:numPr>
              <w:tabs>
                <w:tab w:val="left" w:pos="720"/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外形尺寸：100 mm × 30 mm × 30 mm，尺寸公差≤±0.5 mm</w:t>
            </w:r>
          </w:p>
          <w:p w14:paraId="5BBA4B22">
            <w:pPr>
              <w:numPr>
                <w:ilvl w:val="0"/>
                <w:numId w:val="1"/>
              </w:numPr>
              <w:tabs>
                <w:tab w:val="left" w:pos="720"/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光学有效工作面：90 mm × 25 mm</w:t>
            </w:r>
          </w:p>
          <w:p w14:paraId="14E134DD">
            <w:pPr>
              <w:numPr>
                <w:ilvl w:val="0"/>
                <w:numId w:val="1"/>
              </w:numPr>
              <w:tabs>
                <w:tab w:val="left" w:pos="720"/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子午半径：≥100 km；弧矢半径：≥30 km</w:t>
            </w:r>
          </w:p>
          <w:p w14:paraId="1EB5D023">
            <w:pPr>
              <w:numPr>
                <w:ilvl w:val="0"/>
                <w:numId w:val="1"/>
              </w:numPr>
              <w:tabs>
                <w:tab w:val="left" w:pos="720"/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表面粗糙度：≤0.5 nm</w:t>
            </w:r>
          </w:p>
          <w:p w14:paraId="3FFE9DFD">
            <w:pPr>
              <w:numPr>
                <w:ilvl w:val="0"/>
                <w:numId w:val="1"/>
              </w:numPr>
              <w:tabs>
                <w:tab w:val="left" w:pos="720"/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斜率误差（子午/弧矢）：≤0.3/1 μrad</w:t>
            </w:r>
          </w:p>
          <w:p w14:paraId="25FFD37F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平面镜：</w:t>
            </w:r>
          </w:p>
          <w:p w14:paraId="626167C8">
            <w:pPr>
              <w:numPr>
                <w:ilvl w:val="0"/>
                <w:numId w:val="2"/>
              </w:num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Si(100)，40 nm镍镀层</w:t>
            </w:r>
          </w:p>
          <w:p w14:paraId="4DD749C8">
            <w:pPr>
              <w:numPr>
                <w:ilvl w:val="0"/>
                <w:numId w:val="2"/>
              </w:num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基底外形尺寸：240 mm×30 mm×30 mm，尺寸公差≤±0.5 mm</w:t>
            </w:r>
          </w:p>
          <w:p w14:paraId="57366D99">
            <w:pPr>
              <w:numPr>
                <w:ilvl w:val="0"/>
                <w:numId w:val="2"/>
              </w:num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光学有效工作面：220 mm×20 mm</w:t>
            </w:r>
          </w:p>
          <w:p w14:paraId="5E176EA8">
            <w:pPr>
              <w:numPr>
                <w:ilvl w:val="0"/>
                <w:numId w:val="2"/>
              </w:num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子午半径：≥100 km；弧矢半径：≥30 km</w:t>
            </w:r>
          </w:p>
          <w:p w14:paraId="43FD0856">
            <w:pPr>
              <w:numPr>
                <w:ilvl w:val="0"/>
                <w:numId w:val="2"/>
              </w:num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表面粗糙度：≤0.3 nm</w:t>
            </w:r>
          </w:p>
          <w:p w14:paraId="1E2F9FE9">
            <w:pPr>
              <w:numPr>
                <w:ilvl w:val="0"/>
                <w:numId w:val="2"/>
              </w:num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bCs/>
                <w:szCs w:val="21"/>
              </w:rPr>
              <w:t>斜率误差（子午/弧矢）：0.3/1 μrad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交货期：</w:t>
            </w:r>
            <w:r>
              <w:rPr>
                <w:bCs/>
                <w:szCs w:val="21"/>
              </w:rPr>
              <w:t>合同签订后2个月内交货到指定地点。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交付进度：</w:t>
            </w:r>
            <w:r>
              <w:rPr>
                <w:rFonts w:hint="eastAsia"/>
                <w:bCs/>
                <w:szCs w:val="21"/>
              </w:rPr>
              <w:t>一次性交付。</w:t>
            </w:r>
          </w:p>
          <w:p w14:paraId="1263B4E5">
            <w:pPr>
              <w:tabs>
                <w:tab w:val="left" w:pos="6915"/>
              </w:tabs>
              <w:jc w:val="left"/>
              <w:rPr>
                <w:szCs w:val="21"/>
              </w:rPr>
            </w:pPr>
            <w:r>
              <w:rPr>
                <w:b/>
                <w:szCs w:val="21"/>
              </w:rPr>
              <w:t>付款方式：</w:t>
            </w:r>
            <w:r>
              <w:rPr>
                <w:szCs w:val="21"/>
              </w:rPr>
              <w:t>合同签订后，甲方预付合同总金额的40 %，货到验收合格且收到乙方提供的全额发票后，付清尾款。</w:t>
            </w:r>
          </w:p>
          <w:p w14:paraId="50609E60">
            <w:pPr>
              <w:tabs>
                <w:tab w:val="left" w:pos="6915"/>
              </w:tabs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验收指标及验收要求：</w:t>
            </w:r>
          </w:p>
          <w:p w14:paraId="1D91B5FF">
            <w:pPr>
              <w:pStyle w:val="11"/>
              <w:numPr>
                <w:ilvl w:val="0"/>
                <w:numId w:val="3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子午半径：≥100 km；弧矢半径：≥30 km；</w:t>
            </w:r>
          </w:p>
          <w:p w14:paraId="79FFA796">
            <w:pPr>
              <w:pStyle w:val="11"/>
              <w:numPr>
                <w:ilvl w:val="0"/>
                <w:numId w:val="3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斜率误差（子午/弧矢）：≤0.3/1 μrad；</w:t>
            </w:r>
          </w:p>
          <w:p w14:paraId="46CE2D62">
            <w:pPr>
              <w:pStyle w:val="11"/>
              <w:numPr>
                <w:ilvl w:val="0"/>
                <w:numId w:val="3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szCs w:val="21"/>
              </w:rPr>
            </w:pPr>
            <w:r>
              <w:rPr>
                <w:szCs w:val="21"/>
              </w:rPr>
              <w:t>表面粗糙度：≤0.3 nm；</w:t>
            </w:r>
          </w:p>
          <w:p w14:paraId="182EA06D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b/>
                <w:szCs w:val="21"/>
              </w:rPr>
              <w:t>保修及售后服务：</w:t>
            </w:r>
            <w:r>
              <w:rPr>
                <w:bCs/>
                <w:szCs w:val="21"/>
              </w:rPr>
              <w:t>产品质保期为12个月，时间自验收合格之日起计算。质保期内货物出现质量问题的，乙方应在收到甲方异议通知后的10个工作日内，负责免费更换、维修或补充，并承担由此产生的所有相关费用(包括但不限于运输、人工等)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F54650"/>
    <w:multiLevelType w:val="multilevel"/>
    <w:tmpl w:val="22F54650"/>
    <w:lvl w:ilvl="0" w:tentative="0">
      <w:start w:val="1"/>
      <w:numFmt w:val="decimal"/>
      <w:lvlText w:val="%1）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45BA2BA1"/>
    <w:multiLevelType w:val="multilevel"/>
    <w:tmpl w:val="45BA2BA1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F1756BC"/>
    <w:multiLevelType w:val="multilevel"/>
    <w:tmpl w:val="7F1756BC"/>
    <w:lvl w:ilvl="0" w:tentative="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B6D6F54"/>
    <w:rsid w:val="2D070EC5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2026-07-29T09:54:28Z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